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</w:rPr>
        <w:t>附件1</w:t>
      </w:r>
    </w:p>
    <w:p>
      <w:pPr>
        <w:spacing w:line="520" w:lineRule="exact"/>
        <w:jc w:val="center"/>
        <w:rPr>
          <w:rFonts w:ascii="方正小标宋_GBK" w:hAnsi="黑体" w:eastAsia="方正小标宋_GBK"/>
          <w:color w:val="auto"/>
          <w:sz w:val="28"/>
          <w:szCs w:val="28"/>
        </w:rPr>
      </w:pPr>
      <w:r>
        <w:rPr>
          <w:rFonts w:hint="eastAsia" w:ascii="方正小标宋_GBK" w:hAnsi="黑体" w:eastAsia="方正小标宋_GBK"/>
          <w:color w:val="auto"/>
          <w:sz w:val="28"/>
          <w:szCs w:val="28"/>
        </w:rPr>
        <w:t>生活垃圾分类绿色小区标准</w:t>
      </w:r>
    </w:p>
    <w:tbl>
      <w:tblPr>
        <w:tblStyle w:val="6"/>
        <w:tblW w:w="139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42"/>
        <w:gridCol w:w="1392"/>
        <w:gridCol w:w="643"/>
        <w:gridCol w:w="5738"/>
        <w:gridCol w:w="4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5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工作内容</w:t>
            </w:r>
          </w:p>
        </w:tc>
        <w:tc>
          <w:tcPr>
            <w:tcW w:w="4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评分细则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管理台账(5分)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管理台账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建立生活垃圾分类管理台账，详细记录垃圾类别、数量、分类收运以及宣传培训等情况，定期向街道办报送数据。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无台账记录扣5分，台账记录不完善酌情扣1～4分，没有定期向街道办报送数据扣1分。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1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宣传引导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人员培训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每年对物业管理人员、清洁员、督导员进行培训不少于2次，培训记录应包括现场照片、签到表、培训材料等。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每少一次培训扣2分，培训记录不完善扣1分。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静态宣传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主要出入口、宣传栏、楼栋大堂或电梯间等显著位置张贴垃圾分类投放指引或宣传海报。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根据宣传氛围酌情打分。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入户宣传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入户宣传覆盖率达到小区实际入住户数的80%。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入户覆盖率达到小区实际入住户数80%及以上不扣分，达到70%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不足80%扣1分，达到60%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不足70%扣3分，不足60%不得分。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定时定点督导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定时定点督导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晚上7-9点，组织党员、志愿者、热心居民、物业管理等人员在垃圾分类集中投放点开展宣传督导，全年督导天数不少于270天。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督导天数达到270天不扣分，达到240天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不足270天扣2分，达到210天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不足240天扣4分，达到180天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不足210天扣6分，达到150天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不足180天扣8分，达到120天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不足150天扣10分，少于120天不得分。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设施建设（40分）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集中投放点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18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每个垃圾投放点改造为集中投放点，统一设置有害垃圾、废弃玻璃、废弃金属、废弃塑料、废弃纸类、厨余垃圾、其他垃圾等收集容器,并设置投放指引牌、洗手池、照明和语音提示设施。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每缺少一类分类容器或设施扣2分。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楼层撤桶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禁止在楼层设置垃圾桶，原有楼层垃圾桶应撤除。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楼层设置垃圾桶不得分。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废旧家具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投放点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至少设置1个废旧家具投放点,投放点应设置围挡、指引牌、消防设施。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未设置投放点扣5分，每缺少一类设施扣1分。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废旧织物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回收箱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小区至少设置1个废旧织物回收箱，箱体应标示备案编号、回收及监管电话、投放指引及回收处理流程。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未设置回收箱扣2分，箱体标示不规范扣1分。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分类标志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分类收集容器、指引牌及投放点分类标志正确、清晰。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每发现一处分类标志错误或污损严重扣1分。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日常管理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分类收集容器和设施干净整洁、功能完好。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每发现一处不符合要求扣1分。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分类成效（15分）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知晓率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居民熟悉垃圾分类知识，了解小区开展垃圾分类工作情况，知晓率达90%以上。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发放调查问卷，问卷平均分在90分及以上不扣分，达到80分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不足90分扣2分，达到70分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不足80分扣4分，70分以下不得分。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参与率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居民积极参与垃圾分类，参与率达50%以上。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居民参与率达到50%及以上不扣分，达到40%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不足50%扣1分，达到30%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不足40%扣3分，达到20%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不足30%扣5分，20%以下不得分。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回收利用率（10分）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回收利用率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生活垃圾回收利用率达到30%以上。根据小区每月产生的玻金塑纸、有害垃圾、废旧织物、废旧家具、厨余垃圾等分流分类回收量与其他垃圾量，计算回收利用率。</w:t>
            </w:r>
          </w:p>
        </w:tc>
        <w:tc>
          <w:tcPr>
            <w:tcW w:w="4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回收利用率达30%及以上不扣分，达到28%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不足30%扣2分，达到25%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不足28%扣4分，达到22%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不足25%扣6分，达到20%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不足22%扣8分，20%以下不得分。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0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Cs/>
                <w:color w:val="auto"/>
                <w:sz w:val="21"/>
                <w:szCs w:val="21"/>
              </w:rPr>
              <w:t>100分（85分以上为成效显著）</w:t>
            </w:r>
          </w:p>
        </w:tc>
      </w:tr>
    </w:tbl>
    <w:p>
      <w:pPr>
        <w:widowControl/>
        <w:spacing w:line="400" w:lineRule="exact"/>
        <w:rPr>
          <w:rFonts w:hAnsi="黑体"/>
          <w:color w:val="auto"/>
        </w:rPr>
      </w:pPr>
      <w:r>
        <w:rPr>
          <w:rFonts w:hAnsi="仿宋_GB2312" w:cs="仿宋_GB2312"/>
          <w:b/>
          <w:bCs/>
          <w:color w:val="auto"/>
          <w:sz w:val="28"/>
          <w:szCs w:val="28"/>
        </w:rPr>
        <w:br w:type="page"/>
      </w:r>
      <w:r>
        <w:rPr>
          <w:rFonts w:hint="eastAsia" w:hAnsi="黑体"/>
          <w:color w:val="auto"/>
        </w:rPr>
        <w:t>附件</w:t>
      </w:r>
      <w:r>
        <w:rPr>
          <w:rFonts w:hAnsi="黑体"/>
          <w:color w:val="auto"/>
        </w:rPr>
        <w:t>2</w:t>
      </w:r>
    </w:p>
    <w:p>
      <w:pPr>
        <w:widowControl/>
        <w:spacing w:line="520" w:lineRule="exact"/>
        <w:jc w:val="center"/>
        <w:rPr>
          <w:rFonts w:ascii="方正小标宋_GBK" w:hAnsi="黑体" w:eastAsia="方正小标宋_GBK"/>
          <w:color w:val="auto"/>
          <w:sz w:val="28"/>
          <w:szCs w:val="28"/>
        </w:rPr>
      </w:pPr>
      <w:r>
        <w:rPr>
          <w:rFonts w:hint="eastAsia" w:ascii="方正小标宋_GBK" w:hAnsi="黑体" w:eastAsia="方正小标宋_GBK"/>
          <w:color w:val="auto"/>
          <w:sz w:val="28"/>
          <w:szCs w:val="28"/>
        </w:rPr>
        <w:t>生活垃圾分类绿色单位标准</w:t>
      </w:r>
    </w:p>
    <w:tbl>
      <w:tblPr>
        <w:tblStyle w:val="6"/>
        <w:tblW w:w="13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50"/>
        <w:gridCol w:w="1361"/>
        <w:gridCol w:w="761"/>
        <w:gridCol w:w="5528"/>
        <w:gridCol w:w="4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</w:trPr>
        <w:tc>
          <w:tcPr>
            <w:tcW w:w="673" w:type="dxa"/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50" w:type="dxa"/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1361" w:type="dxa"/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761" w:type="dxa"/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5528" w:type="dxa"/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工作内容</w:t>
            </w:r>
          </w:p>
        </w:tc>
        <w:tc>
          <w:tcPr>
            <w:tcW w:w="4319" w:type="dxa"/>
            <w:noWrap/>
            <w:vAlign w:val="center"/>
          </w:tcPr>
          <w:p>
            <w:pPr>
              <w:jc w:val="center"/>
              <w:rPr>
                <w:rFonts w:hAnsi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35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组织管理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工作方案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制订生活垃圾分类工作方案，落实经费，专人负责。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无工作方案扣5分，无经费保障扣3分，无专人负责扣2分。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7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管理台账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建立生活垃圾分类管理台账，详细记录垃圾类别、数量、分类收运以及宣传培训等情况，定期向街道办报送数据。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无管理台账扣10分，台账不完善酌情扣1～5分，没有定期向街道办事处报送数据扣3分，每少一类垃圾收运记录扣1分。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7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35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宣传教育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静态宣传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张贴宣传海报、分类指引，有电子显示屏的定期播放宣传片或标语，洗手间张贴“节约用纸、用水”提示，食堂张贴“光盘行动”提示。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无宣传资料扣10分，少于三处扣5分。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人员培训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每年组织职工、物业等人员至少开展一次生活垃圾分类知识培训。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未开展培训扣10分，培训记录不完善酌情扣1～3分。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35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设施配置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（35分）</w:t>
            </w: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集中投放点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每个单位或围合至少设置1个集中投放点，设置有害垃圾、废弃玻璃、废弃金属、废弃塑料、废弃纸类和其他垃圾收集容器。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无集中投放点扣15分，每缺少一类分类容器扣2分。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餐厨垃圾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食堂设置餐厨垃圾收集容器，与餐厨垃圾收运企业签订收运协议。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未设置餐厨垃圾收集容器扣5分，未与收运企业签约扣5分。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7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分类标志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分类收集容器、指引牌等分类标志正确、清晰。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每发现一处分类标志错误或污损严重扣1分。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日常维护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分类收集容器和设施干净整洁、功能完好。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lef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每发现一处不符合要求扣1分。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35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分类成效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知晓率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全体职工熟悉生活垃圾分类知识，知晓率达90%以上。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发放调查问卷，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调查问卷平均分在90分及以上不扣分，达到80分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不足90分扣2分，达到70分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不足80分扣4分，达到60分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不足70分扣6分，60分以下不得分。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参与率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全体职工生活垃圾分类参与率达70%以上。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参与率达到70%及以上不扣分，达到60%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不足70%扣3分，达到50%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lang w:eastAsia="zh-CN"/>
              </w:rPr>
              <w:t>但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不足60%扣6分，50%以下不得分。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35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源头减量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136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资源节约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不使用一次性杯子、餐具等用品。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每发现一处使用一次性用品扣1分。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低碳办公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52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纸张双面使用，减少使用纸张。</w:t>
            </w:r>
          </w:p>
        </w:tc>
        <w:tc>
          <w:tcPr>
            <w:tcW w:w="43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每发现一处没有双面使用纸张扣1分。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84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1060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before="60" w:line="320" w:lineRule="exact"/>
              <w:jc w:val="center"/>
              <w:rPr>
                <w:rFonts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100分</w:t>
            </w:r>
            <w:r>
              <w:rPr>
                <w:rFonts w:hint="eastAsia" w:hAnsi="仿宋_GB2312" w:cs="仿宋_GB2312"/>
                <w:bCs/>
                <w:color w:val="auto"/>
                <w:sz w:val="21"/>
                <w:szCs w:val="21"/>
              </w:rPr>
              <w:t>（85分以上为成效显著）</w:t>
            </w:r>
          </w:p>
        </w:tc>
      </w:tr>
    </w:tbl>
    <w:p>
      <w:pPr>
        <w:spacing w:line="560" w:lineRule="exact"/>
        <w:rPr>
          <w:rFonts w:hAnsi="黑体"/>
          <w:color w:val="auto"/>
        </w:rPr>
      </w:pPr>
      <w:r>
        <w:rPr>
          <w:rFonts w:hAnsi="仿宋"/>
          <w:color w:val="auto"/>
        </w:rPr>
        <w:br w:type="page"/>
      </w:r>
      <w:r>
        <w:rPr>
          <w:rFonts w:hint="eastAsia" w:hAnsi="黑体"/>
          <w:color w:val="auto"/>
        </w:rPr>
        <w:t>附件</w:t>
      </w:r>
      <w:r>
        <w:rPr>
          <w:rFonts w:hAnsi="黑体"/>
          <w:color w:val="auto"/>
        </w:rPr>
        <w:t>3</w:t>
      </w:r>
    </w:p>
    <w:p>
      <w:pPr>
        <w:spacing w:line="560" w:lineRule="exact"/>
        <w:jc w:val="center"/>
        <w:rPr>
          <w:rFonts w:ascii="方正小标宋_GBK" w:hAnsi="黑体" w:eastAsia="方正小标宋_GBK"/>
          <w:color w:val="auto"/>
          <w:sz w:val="28"/>
          <w:szCs w:val="28"/>
        </w:rPr>
      </w:pPr>
      <w:r>
        <w:rPr>
          <w:rFonts w:hint="eastAsia" w:ascii="方正小标宋_GBK" w:hAnsi="黑体" w:eastAsia="方正小标宋_GBK"/>
          <w:color w:val="auto"/>
          <w:sz w:val="28"/>
          <w:szCs w:val="28"/>
        </w:rPr>
        <w:t>生活垃圾分类绿色学校标准（幼儿园）</w:t>
      </w:r>
    </w:p>
    <w:tbl>
      <w:tblPr>
        <w:tblStyle w:val="6"/>
        <w:tblW w:w="139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89"/>
        <w:gridCol w:w="1411"/>
        <w:gridCol w:w="706"/>
        <w:gridCol w:w="5683"/>
        <w:gridCol w:w="4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77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评估内容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189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组织管理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人员和经费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制订垃圾分类工作方案，成立垃圾分类工作领导小组且园长任组长，指定专人负责垃圾分类，安排垃圾分类经费。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未制订方案扣10分，未成立领导小组或园长未任组长扣6分，未指定专人扣2分，未安排垃圾分类经费扣2分。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管理制度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建立并实施垃圾分类检查考评制度。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未建立校园垃圾分类检查考评制度扣2分，未实施校园垃圾分类检查考评制度扣2分。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台账管理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建立完善垃圾分类台账，记录学生参与情况，登记生活垃圾种类、数量、去向等信息，并与收运单位做好签收工作。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无台账记录扣6分，台账记录不完善酌情扣1～6分。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宣传教育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静态宣传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生活区、教学区、办公区的宣传栏应张贴垃圾分类宣传海报，有电子显示屏的应不定期播放宣传片或宣传标语。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人员培训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每学年至少组织开展1次垃圾分类教育培训，教师、学生、后勤等人员掌握基本知识、方法和要求。培训记录应包括现场照片、签到表、培训材料等。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未开展培训扣5分，培训记录不完善酌情扣1～2分。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教研活动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将垃圾分类知识融入课堂教学，组织幼儿学习第三版垃圾分类教育读本（幼儿园）。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垃圾分类知识未融入课堂的酌情扣1～5分，未组织学习第三版垃圾分类教育读本（幼儿园）扣5分。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社会实践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主题活动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每年至少组织师生开展2次垃圾分类的主题活动，调动幼儿积极性，激发兴趣活力。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未开展活动扣10分，少组织一次扣5分，没有活动方案扣3分，没有活动记录扣3分。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校外实践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每年至少组织师生参加1次校外参观体验活动，科普生活垃圾处理知识。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未开展活动扣10分，没有活动方案扣3分，没有活动过程记录扣3分。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设施建设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（15）</w:t>
            </w:r>
          </w:p>
        </w:tc>
        <w:tc>
          <w:tcPr>
            <w:tcW w:w="141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集中投放点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个垃圾投放点改造为集中投放点，统一设置有害垃圾（电池、灯管）、废弃玻璃、废弃金属、废弃塑料、废弃纸类、其他垃圾等收集容器,并设置投放指引牌，确因场地限制无法设置指引牌的应利用墙体、宣传栏等张贴指引，分类收集容器、指引牌及投放点分类标志正确、清晰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每缺少一类分类容器扣1分，标志、指引不正确或不清晰扣1～2分。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资源回收站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应设置资源回收站，分类贮存可回收物和有害垃圾。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不设置扣5分，管理不规范扣2分。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7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日常维护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分类收集容器和设施干净整洁、功能完好。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每发现一处不符合要求，扣1分。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7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分类成效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41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参与率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学校每年应组织学生在家开展垃圾分类，全体学生中参与投放2次（含）的学生应超过85%以上，参与10次（含）的学生应为30%以上。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未达到要求不得分。（需有详细台账证明）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源头减量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绿色就餐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开展光盘行动，在学校食堂等地张贴光盘行动海报、图贴、标语等宣传物料；与餐厨垃圾收运企业签约，做好餐厨垃圾收运台账；不使用一次性杯具和餐具。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根据光盘行动宣传氛围酌情扣1分，未与餐厨垃圾收运企业签约扣1分，没有餐厨垃圾收运台账扣1分，使用一次性杯具或者餐具的扣2分。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低碳办公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纸张双面使用，不用或少用一次性签字笔，优先使用可重复使用的办公用品。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118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特色加分（10）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特色条件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8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长期开展垃圾分类为主题等相关环保活动，建立学校垃圾分类大数据平台，平台运行6个月以上。</w:t>
            </w:r>
          </w:p>
        </w:tc>
        <w:tc>
          <w:tcPr>
            <w:tcW w:w="42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99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Ansi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★项为必达指标，必达指标不具备，将取消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申报资格。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含特色加分，总分须达到95分以上，方可参与申报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widowControl/>
        <w:spacing w:line="520" w:lineRule="exact"/>
        <w:jc w:val="center"/>
        <w:rPr>
          <w:rFonts w:ascii="方正小标宋_GBK" w:hAnsi="黑体" w:eastAsia="方正小标宋_GBK"/>
          <w:color w:val="auto"/>
          <w:sz w:val="28"/>
          <w:szCs w:val="28"/>
        </w:rPr>
      </w:pPr>
      <w:r>
        <w:rPr>
          <w:rFonts w:hAnsi="仿宋_GB2312" w:cs="仿宋_GB2312"/>
          <w:color w:val="auto"/>
          <w:szCs w:val="21"/>
        </w:rPr>
        <w:br w:type="page"/>
      </w:r>
      <w:r>
        <w:rPr>
          <w:rFonts w:hint="eastAsia" w:ascii="方正小标宋_GBK" w:hAnsi="黑体" w:eastAsia="方正小标宋_GBK"/>
          <w:color w:val="auto"/>
          <w:sz w:val="28"/>
          <w:szCs w:val="28"/>
        </w:rPr>
        <w:t>生活垃圾分类绿色学校标准（中小学）</w:t>
      </w:r>
    </w:p>
    <w:tbl>
      <w:tblPr>
        <w:tblStyle w:val="6"/>
        <w:tblW w:w="139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17"/>
        <w:gridCol w:w="1676"/>
        <w:gridCol w:w="694"/>
        <w:gridCol w:w="5018"/>
        <w:gridCol w:w="4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69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评估内容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317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组织管理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人员和经费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制订垃圾分类工作方案，成立垃圾分类工作领导小组且校长任组长，指定专人负责垃圾分类，安排垃圾分类经费。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未制订方案扣10分，未成立领导小组或校长未任组长扣6分，未指定专人扣2分，未安排垃圾分类经费扣2分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管理制度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建立并实施校园垃圾分类检查考评制度，将生活垃圾分类知识和行为规范纳入综合评价体系。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未建立并实施垃圾分类检查考评制度扣2分，未将生活垃圾分类知识和行为规范纳入综合评价体系酌情扣1～2分。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台账管理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建立完善垃圾分类台账，记录学生参与情况，登记生活垃圾种类、数量、去向等信息，并与收运单位做好签收工作。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无台账记录扣6分，台账记录不完善酌情扣1～6分。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宣传教育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静态宣传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生活区、教学区、办公区的宣传栏应张贴垃圾分类宣传海报，有电子显示屏的应不定期播放宣传片或宣传标语。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人员培训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每学年至少组织开展1次生活垃圾分类量教育培训，使教师、学生、后勤等人员掌握基本知识、方法和要求。培训记录应包括现场照片、签到表、培训材料等。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未开展培训扣5分，培训记录不完善酌情扣1～2分。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69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教研活动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将垃圾分类知识纳入教本课程，成立垃圾分类教研工作室且校长任负责人，根据自身实际和教育特色开发特色课程，把普及垃圾分类、资源循环利用融入课堂教学，组织学生学习第三版垃圾分类教育读本。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未纳入教本课程扣2分，未成立教研工作室扣2分，未开发特色课程扣2分，未融入课堂教学扣2分，未组织学生学习第三版垃圾分类教育读本扣2分。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社会实践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主题活动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每年至少组织师生开展2次垃圾分类的主题活动，调动学生积极性，激发兴趣活力。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未开展活动扣5分，少组织一次扣3分，没有活动方案扣1分，没有活动记录扣3分。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校外实践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每年至少组织师生参加1次校外参观体验活动，科普生活垃圾处理知识。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未开展活动扣5分，没有活动方案扣1分，没有活动记录扣3分。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志愿者行动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每年至少组织师生参与1次志愿者行动，开展垃圾分类宣传和实践活动。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未开展活动扣5分，没有活动方案扣1分，没有活动记录扣3分。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设施建设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（15）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集中投放点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个垃圾投放点改造为集中投放点，统一设置有害垃圾（电池、灯管）、废弃玻璃、废弃金属、废弃塑料、废弃纸类、其他垃圾等收集容器,并设置投放指引牌，确因场地限制无法设置指引牌的应利用墙体、宣传栏等张贴指引，分类收集容器、指引版及投放点分类标志正确、清晰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每缺少一类分类容器扣1分，标志、指引不正确或不清晰扣1～2分。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9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资源回收站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应设置资源回收站，分类贮存可回收物和有害垃圾。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不设置扣5分，管理不规范扣2分。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9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日常维护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分类收集容器和设施干净整洁、功能完好。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每发现一处不符合要求扣0.5分，扣完为止。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9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分类成效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参与率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学校每年应组织学生在家开展垃圾分类，全体学生中参与投放2次以上（含）的学生应超过85%以上，参与10次（含）的学生应为40%以上。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未达到要求不得分。（需有详细台账证明）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源头减量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绿色就餐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开展光盘行动，在学校食堂等地张贴光盘行动海报、图贴、标语等宣传物料；有食堂的学校安排督导员指导就餐人员做好垃圾分类；与餐厨垃圾收运企业签约，做好餐厨垃圾收运台账；不使用一次性杯具和餐具。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根据光盘行动宣传氛围酌情扣1～2分，有食堂的学校未安排督导员扣2分，未与餐厨垃圾收运企业签约扣2分，未有餐厨垃圾收运台账扣2分，台账不完整酌情扣分，使用一次性杯具或者餐具的扣2分。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9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低碳办公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纸张双面使用，不用或少用一次性签字笔，优先使用可重复使用的办公用品。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9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13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特色加分（10）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特色条件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01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长期开展垃圾分类为主题等相关环保活动，建立学校垃圾分类大数据平台，平台运行6个月以上。</w:t>
            </w:r>
          </w:p>
        </w:tc>
        <w:tc>
          <w:tcPr>
            <w:tcW w:w="45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99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Ansi="仿宋_GB2312" w:cs="仿宋_GB2312"/>
                <w:color w:val="auto"/>
                <w:sz w:val="21"/>
                <w:szCs w:val="21"/>
              </w:rPr>
              <w:t>1.★项为必达指标，必达指标不具备，将取消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申报资格。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含特色加分，总分须达到95分以上，方可参与申报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widowControl/>
        <w:jc w:val="center"/>
        <w:rPr>
          <w:rFonts w:ascii="方正小标宋_GBK" w:hAnsi="黑体" w:eastAsia="方正小标宋_GBK"/>
          <w:color w:val="auto"/>
          <w:sz w:val="28"/>
          <w:szCs w:val="28"/>
        </w:rPr>
      </w:pPr>
      <w:r>
        <w:rPr>
          <w:rFonts w:ascii="方正小标宋_GBK" w:hAnsi="黑体" w:eastAsia="方正小标宋_GBK"/>
          <w:color w:val="auto"/>
          <w:sz w:val="28"/>
          <w:szCs w:val="28"/>
        </w:rPr>
        <w:br w:type="page"/>
      </w:r>
      <w:r>
        <w:rPr>
          <w:rFonts w:hint="eastAsia" w:ascii="方正小标宋_GBK" w:hAnsi="黑体" w:eastAsia="方正小标宋_GBK"/>
          <w:color w:val="auto"/>
          <w:sz w:val="28"/>
          <w:szCs w:val="28"/>
        </w:rPr>
        <w:t>生活垃圾分类绿色学校标准（高校）</w:t>
      </w:r>
    </w:p>
    <w:tbl>
      <w:tblPr>
        <w:tblStyle w:val="6"/>
        <w:tblW w:w="139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44"/>
        <w:gridCol w:w="1516"/>
        <w:gridCol w:w="704"/>
        <w:gridCol w:w="5653"/>
        <w:gridCol w:w="42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评估内容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auto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144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组织管理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人员和经费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制订垃圾分类工作方案，成立垃圾分类工作领导小组且校长任组长，指定专人负责垃圾分类，安排垃圾分类经费。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未制订方案扣10分，未成立领导小组或校长未任组长扣6分，未指定专人扣2分，未安排垃圾分类经费扣2分。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管理制度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宋体" w:cs="仿宋_GB2312"/>
                <w:color w:val="auto"/>
                <w:sz w:val="21"/>
                <w:szCs w:val="22"/>
              </w:rPr>
              <w:t>建立并实施校园垃圾分类检查考评制度，将生活垃圾分类知识和行为规范纳入综合评价体系。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宋体" w:cs="仿宋_GB2312"/>
                <w:color w:val="auto"/>
                <w:sz w:val="21"/>
                <w:szCs w:val="22"/>
              </w:rPr>
              <w:t>未建立并实施垃圾分类检查考评制度扣2分，未将生活垃圾分类知识和行为规范纳入综合评价体系酌情扣1</w:t>
            </w:r>
            <w:r>
              <w:rPr>
                <w:rFonts w:hint="eastAsia" w:hAnsi="仿宋_GB2312" w:cs="仿宋_GB2312"/>
                <w:color w:val="auto"/>
                <w:sz w:val="21"/>
                <w:szCs w:val="22"/>
              </w:rPr>
              <w:t>～</w:t>
            </w:r>
            <w:r>
              <w:rPr>
                <w:rFonts w:hint="eastAsia" w:hAnsi="宋体" w:cs="仿宋_GB2312"/>
                <w:color w:val="auto"/>
                <w:sz w:val="21"/>
                <w:szCs w:val="22"/>
              </w:rPr>
              <w:t>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台账管理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建立完善垃圾分类台账，记录学生参与情况，登记生活垃圾种类、数量、去向等信息，并与收运单位做好签收工作。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无台账记录扣6分，台账记录不完善酌情扣1～6分。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宣传教育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（20分）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静态宣传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生活区、教学区、办公区的宣传栏应张贴垃圾分类宣传海报，有电子显示屏的应不定期播放宣传片或宣传标语。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人员培训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每学年至少组织开展2次生活垃圾分类教育培训，使教师、学生、后勤等人员掌握基本知识、方法和要求。培训记录应包括现场照片、签到表、培训材料等。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未开展培训扣5分，少一次扣3分，培训记录不完善酌情扣1～2分。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教研活动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成立垃圾分类教研工作室，校长任负责人；根据自身实际和教育特色开展生活垃圾分类科学研究；将生活垃圾分类内容纳入选修课程。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未成立教研工作室扣5分，未开展生活垃圾分类科学研究扣3分，未将垃圾分类内容纳入选修课程扣2分。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社会实践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主题活动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每年至少组织师生开展2次生活垃圾分类的主题活动，调动学生积极性，激发兴趣活力。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未开展活动扣5分，少组织一次扣3分，没有活动方案扣1分，没有活动记录扣3分。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校外实践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每年至少组织师生参加1次校外参观体验活动，科普生活垃圾处理知识和技术。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未开展的扣5分，没有活动方案扣1分，没有活动记录扣3分。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志愿者行动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每年至少组织师生参与2次志愿者行动，开展生活垃圾分类宣传和实践活动。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未开展活动扣5分，少组织一次扣3分，没有活动方案扣1分，没有活动记录扣3分。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设施建设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（15）</w:t>
            </w:r>
          </w:p>
        </w:tc>
        <w:tc>
          <w:tcPr>
            <w:tcW w:w="151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集中投放点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个垃圾投放点改造为集中投放点，统一设置有害垃圾（电池、灯管）、废弃玻璃、废弃金属、废弃塑料、废弃纸类、其他垃圾等收集容器,并设置投放指引牌，确因场地限制无法设置指引牌的应利用墙体、宣传栏等张贴指引内容，分类收集容器、指引版及投放点分类标志正确、清晰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每缺少一类分类容器扣1分，标志、指引不正确或不清晰扣1～2分。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废旧织物</w:t>
            </w:r>
          </w:p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回收箱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5653" w:type="dxa"/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有宿舍的高校至少设置1个废旧织物回收箱，箱体应标示备案编号、回收及监管电话、投放指引及回收处理流程。</w:t>
            </w:r>
          </w:p>
        </w:tc>
        <w:tc>
          <w:tcPr>
            <w:tcW w:w="4266" w:type="dxa"/>
            <w:noWrap/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未设置回收箱扣3分，箱体标示不规范的扣1分。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资源回收站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应设置资源回收站，分类贮存可回收物和有害垃圾。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不设置扣3分，管理不规范扣1～2分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日常维护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分类收集容器和设施干净整洁、功能完好。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每发现一处不符合要求扣1分。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14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分类成效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51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参与率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全体学生参与生活垃圾分类10次以上（含）的学生应达60%以上（仅限可回收物和有害垃圾投放）。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</w:rPr>
              <w:t>未达到要求不得分。（需有详细台账证明）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源头减量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（15分）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绿色就餐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开展光盘行动，在学校食堂等地张贴光盘行动海报、图贴、标语等宣传物料；有食堂的学校安排督导员指导就餐人员做好垃圾分类；与餐厨垃圾收运企业签约，做好餐厨垃圾收运台账；不使用一次性杯具和餐具。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★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根据光盘行动宣传氛围酌情扣1～2分，有食堂的学校未安排值日人员扣2分，未与餐厨垃圾收运企业签约扣2分，没有餐厨垃圾收运台账扣2分，台账不完整酌情扣分，使用一次性杯具或者餐具扣2分。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低碳办公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纸张双面使用，不用或少用一次性签字笔，优先使用可重复使用的办公用品。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1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特色加分（10）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特色条件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565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长期开展垃圾分类为主题等相关环保活动，建立学校垃圾分类大数据平台，平台运行6个月以上。</w:t>
            </w:r>
          </w:p>
        </w:tc>
        <w:tc>
          <w:tcPr>
            <w:tcW w:w="426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根据佐证资料酌情扣分。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★项为必达指标，必达指标不具备，将取消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申报资格。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含特色加分，总分须达到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95</w:t>
            </w:r>
            <w:r>
              <w:rPr>
                <w:rFonts w:hAnsi="仿宋_GB2312" w:cs="仿宋_GB2312"/>
                <w:color w:val="auto"/>
                <w:sz w:val="21"/>
                <w:szCs w:val="21"/>
              </w:rPr>
              <w:t>分以上，方可参与申报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snapToGrid w:val="0"/>
        <w:spacing w:line="560" w:lineRule="exact"/>
        <w:rPr>
          <w:color w:val="auto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MngLUbgBAABk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25"/>
    <w:rsid w:val="00042505"/>
    <w:rsid w:val="00051E4E"/>
    <w:rsid w:val="001862AF"/>
    <w:rsid w:val="00192625"/>
    <w:rsid w:val="001C0646"/>
    <w:rsid w:val="00234827"/>
    <w:rsid w:val="00240927"/>
    <w:rsid w:val="00254742"/>
    <w:rsid w:val="002B2200"/>
    <w:rsid w:val="002C32C3"/>
    <w:rsid w:val="002F33FF"/>
    <w:rsid w:val="003C2076"/>
    <w:rsid w:val="003F6ECF"/>
    <w:rsid w:val="00424473"/>
    <w:rsid w:val="004A6C20"/>
    <w:rsid w:val="004C1D53"/>
    <w:rsid w:val="00525DB1"/>
    <w:rsid w:val="005F5321"/>
    <w:rsid w:val="00601846"/>
    <w:rsid w:val="00685D2A"/>
    <w:rsid w:val="006B4008"/>
    <w:rsid w:val="006B5965"/>
    <w:rsid w:val="00743923"/>
    <w:rsid w:val="00783F71"/>
    <w:rsid w:val="007B3847"/>
    <w:rsid w:val="00877768"/>
    <w:rsid w:val="009376AA"/>
    <w:rsid w:val="009A3155"/>
    <w:rsid w:val="009C50DE"/>
    <w:rsid w:val="009C668D"/>
    <w:rsid w:val="00A24C38"/>
    <w:rsid w:val="00AD30CA"/>
    <w:rsid w:val="00B057E3"/>
    <w:rsid w:val="00B92254"/>
    <w:rsid w:val="00BF6649"/>
    <w:rsid w:val="00BF7629"/>
    <w:rsid w:val="00C44C60"/>
    <w:rsid w:val="00D21B56"/>
    <w:rsid w:val="00D91008"/>
    <w:rsid w:val="00E2232E"/>
    <w:rsid w:val="00E50EF9"/>
    <w:rsid w:val="00EB609A"/>
    <w:rsid w:val="00EC2FA0"/>
    <w:rsid w:val="00FF27FB"/>
    <w:rsid w:val="02B04D9F"/>
    <w:rsid w:val="074A61B3"/>
    <w:rsid w:val="0E6F64C4"/>
    <w:rsid w:val="104A2E41"/>
    <w:rsid w:val="11F90EF7"/>
    <w:rsid w:val="134A5315"/>
    <w:rsid w:val="1DA9084A"/>
    <w:rsid w:val="1F1E14E2"/>
    <w:rsid w:val="1FA1113B"/>
    <w:rsid w:val="27D43A2E"/>
    <w:rsid w:val="2A0E7ED1"/>
    <w:rsid w:val="2CDE1560"/>
    <w:rsid w:val="2EFE7C63"/>
    <w:rsid w:val="3048038F"/>
    <w:rsid w:val="304A77BA"/>
    <w:rsid w:val="36DD64CE"/>
    <w:rsid w:val="3A6A58F5"/>
    <w:rsid w:val="3FA02A69"/>
    <w:rsid w:val="3FC70E9B"/>
    <w:rsid w:val="47906D45"/>
    <w:rsid w:val="4B067E9C"/>
    <w:rsid w:val="4DC364AD"/>
    <w:rsid w:val="4FE10A43"/>
    <w:rsid w:val="51125E27"/>
    <w:rsid w:val="52577CDF"/>
    <w:rsid w:val="52AF088D"/>
    <w:rsid w:val="5705085F"/>
    <w:rsid w:val="57F003C8"/>
    <w:rsid w:val="5AE61323"/>
    <w:rsid w:val="5CC946A0"/>
    <w:rsid w:val="60890709"/>
    <w:rsid w:val="6100310F"/>
    <w:rsid w:val="62065463"/>
    <w:rsid w:val="62EA7434"/>
    <w:rsid w:val="63695989"/>
    <w:rsid w:val="64E964E1"/>
    <w:rsid w:val="658E3F08"/>
    <w:rsid w:val="68B1399F"/>
    <w:rsid w:val="6A855975"/>
    <w:rsid w:val="6AD2083A"/>
    <w:rsid w:val="6BFB34CA"/>
    <w:rsid w:val="6D3400B7"/>
    <w:rsid w:val="6F1328F1"/>
    <w:rsid w:val="703019FA"/>
    <w:rsid w:val="724A7924"/>
    <w:rsid w:val="75F51FDF"/>
    <w:rsid w:val="7C7D465B"/>
    <w:rsid w:val="7D4D35A8"/>
    <w:rsid w:val="7E2B36AF"/>
    <w:rsid w:val="7F212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1591</Words>
  <Characters>9072</Characters>
  <Lines>75</Lines>
  <Paragraphs>21</Paragraphs>
  <TotalTime>26</TotalTime>
  <ScaleCrop>false</ScaleCrop>
  <LinksUpToDate>false</LinksUpToDate>
  <CharactersWithSpaces>10642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2019-05-06T09:19:00Z</dcterms:created>
  <dc:creator>梁卫坤</dc:creator>
  <cp:lastModifiedBy>Mw</cp:lastModifiedBy>
  <cp:lastPrinted>2019-05-06T06:29:00Z</cp:lastPrinted>
  <dcterms:modified xsi:type="dcterms:W3CDTF">2019-08-23T08:49:21Z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