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7"/>
        <w:framePr w:wrap="around"/>
        <w:rPr>
          <w:rFonts w:hAnsi="黑体" w:cs="黑体"/>
        </w:rPr>
      </w:pPr>
      <w:r>
        <w:rPr>
          <w:rFonts w:hint="eastAsia" w:hAnsi="黑体" w:cs="黑体"/>
        </w:rPr>
        <w:t>ICS </w:t>
      </w:r>
    </w:p>
    <w:p>
      <w:pPr>
        <w:pStyle w:val="127"/>
        <w:framePr w:wrap="around"/>
        <w:rPr>
          <w:rFonts w:hAnsi="黑体" w:cs="黑体"/>
        </w:rPr>
      </w:pPr>
      <w:r>
        <w:rPr>
          <w:rFonts w:hint="eastAsia" w:hAnsi="黑体" w:cs="黑体"/>
        </w:rPr>
        <w:fldChar w:fldCharType="begin">
          <w:ffData>
            <w:name w:val="WXFLH"/>
            <w:enabled/>
            <w:calcOnExit w:val="0"/>
            <w:helpText w:type="text" w:val="请输入中国标准文献分类号："/>
            <w:textInput>
              <w:default w:val="A 12"/>
            </w:textInput>
          </w:ffData>
        </w:fldChar>
      </w:r>
      <w:bookmarkStart w:id="0" w:name="WXFLH"/>
      <w:r>
        <w:rPr>
          <w:rFonts w:hint="eastAsia" w:hAnsi="黑体" w:cs="黑体"/>
        </w:rPr>
        <w:instrText xml:space="preserve"> FORMTEXT </w:instrText>
      </w:r>
      <w:r>
        <w:rPr>
          <w:rFonts w:hint="eastAsia" w:hAnsi="黑体" w:cs="黑体"/>
        </w:rPr>
        <w:fldChar w:fldCharType="separate"/>
      </w:r>
      <w:r>
        <w:rPr>
          <w:rFonts w:hint="eastAsia" w:hAnsi="黑体" w:cs="黑体"/>
        </w:rPr>
        <w:t xml:space="preserve">A </w:t>
      </w:r>
      <w:r>
        <w:rPr>
          <w:rFonts w:hint="eastAsia" w:hAnsi="黑体" w:cs="黑体"/>
        </w:rPr>
        <w:fldChar w:fldCharType="end"/>
      </w:r>
      <w:bookmarkEnd w:id="0"/>
    </w:p>
    <w:tbl>
      <w:tblPr>
        <w:tblStyle w:val="37"/>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0" w:type="dxa"/>
            <w:tcBorders>
              <w:top w:val="nil"/>
              <w:left w:val="nil"/>
              <w:bottom w:val="nil"/>
              <w:right w:val="nil"/>
            </w:tcBorders>
            <w:shd w:val="clear" w:color="auto" w:fill="auto"/>
          </w:tcPr>
          <w:p>
            <w:pPr>
              <w:pStyle w:val="127"/>
              <w:framePr w:wrap="around"/>
            </w:pPr>
            <w: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7"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4v7NUAAAAHAQAADwAAAAAA&#10;AAABACAAAAAiAAAAZHJzL2Rvd25yZXYueG1sUEsBAhQAFAAAAAgAh07iQK+sNNYWAgAAOQQAAA4A&#10;AAAAAAAAAQAgAAAAJAEAAGRycy9lMm9Eb2MueG1sUEsFBgAAAAAGAAYAWQEAAKwFAAAAAA==&#10;">
                      <v:fill on="t" focussize="0,0"/>
                      <v:stroke on="f"/>
                      <v:imagedata o:title=""/>
                      <o:lock v:ext="edit" aspectratio="f"/>
                      <v:textbox>
                        <w:txbxContent>
                          <w:p/>
                        </w:txbxContent>
                      </v:textbox>
                    </v:rect>
                  </w:pict>
                </mc:Fallback>
              </mc:AlternateContent>
            </w:r>
            <w:r>
              <w:fldChar w:fldCharType="begin">
                <w:ffData>
                  <w:name w:val="BAH"/>
                  <w:enabled/>
                  <w:calcOnExit w:val="0"/>
                  <w:textInput/>
                </w:ffData>
              </w:fldChar>
            </w:r>
            <w:bookmarkStart w:id="1" w:name="BAH"/>
            <w:r>
              <w:instrText xml:space="preserve"> FORMTEXT </w:instrText>
            </w:r>
            <w:r>
              <w:fldChar w:fldCharType="separate"/>
            </w:r>
            <w:r>
              <w:t>     </w:t>
            </w:r>
            <w:r>
              <w:fldChar w:fldCharType="end"/>
            </w:r>
            <w:bookmarkEnd w:id="1"/>
          </w:p>
        </w:tc>
      </w:tr>
    </w:tbl>
    <w:p>
      <w:pPr>
        <w:pStyle w:val="78"/>
        <w:framePr w:w="9232" w:h="1145" w:hRule="exact" w:wrap="around" w:x="1502" w:y="2153"/>
        <w:ind w:left="210" w:leftChars="100"/>
        <w:rPr>
          <w:rFonts w:ascii="Times New Roman" w:hAnsi="Times New Roman"/>
          <w:sz w:val="52"/>
        </w:rPr>
      </w:pPr>
      <w:r>
        <w:rPr>
          <w:rFonts w:hint="eastAsia" w:ascii="Times New Roman" w:hAnsi="Times New Roman"/>
          <w:sz w:val="52"/>
        </w:rPr>
        <w:t>团体标准</w:t>
      </w:r>
    </w:p>
    <w:p>
      <w:pPr>
        <w:pStyle w:val="101"/>
        <w:framePr w:w="2465" w:wrap="around" w:x="8146" w:y="2698"/>
        <w:rPr>
          <w:rFonts w:hAnsi="黑体"/>
        </w:rPr>
      </w:pPr>
    </w:p>
    <w:p>
      <w:pPr>
        <w:pStyle w:val="101"/>
        <w:framePr w:w="2465" w:wrap="around" w:x="8146" w:y="2698"/>
        <w:rPr>
          <w:rFonts w:hAnsi="黑体"/>
        </w:rPr>
      </w:pPr>
      <w:r>
        <w:rPr>
          <w:rFonts w:hint="eastAsia" w:hAnsi="黑体"/>
        </w:rPr>
        <w:t>T/</w:t>
      </w:r>
      <w:r>
        <w:rPr>
          <w:rFonts w:hAnsi="黑体"/>
        </w:rPr>
        <w:t>C</w:t>
      </w:r>
      <w:r>
        <w:rPr>
          <w:rFonts w:hint="eastAsia" w:hAnsi="黑体"/>
        </w:rPr>
        <w:t>PMI</w:t>
      </w:r>
      <w:r>
        <w:rPr>
          <w:rFonts w:hAnsi="黑体"/>
        </w:rPr>
        <w:t xml:space="preserve"> 0</w:t>
      </w:r>
      <w:r>
        <w:rPr>
          <w:rFonts w:hint="eastAsia" w:hAnsi="黑体"/>
        </w:rPr>
        <w:t>XX</w:t>
      </w:r>
      <w:r>
        <w:rPr>
          <w:rFonts w:hAnsi="黑体"/>
        </w:rPr>
        <w:t>—202</w:t>
      </w:r>
      <w:r>
        <w:rPr>
          <w:rFonts w:hint="eastAsia" w:hAnsi="黑体"/>
        </w:rPr>
        <w:t>X</w:t>
      </w:r>
    </w:p>
    <w:p>
      <w:pPr>
        <w:pStyle w:val="101"/>
        <w:framePr w:w="2465" w:wrap="around" w:x="8146" w:y="2698"/>
        <w:rPr>
          <w:rFonts w:hAnsi="黑体"/>
          <w:sz w:val="21"/>
          <w:szCs w:val="21"/>
        </w:rPr>
      </w:pPr>
    </w:p>
    <w:p>
      <w:pPr>
        <w:pStyle w:val="101"/>
        <w:framePr w:w="2465" w:wrap="around" w:x="8146" w:y="2698"/>
        <w:rPr>
          <w:rFonts w:hAnsi="黑体"/>
          <w:sz w:val="21"/>
          <w:szCs w:val="21"/>
        </w:rPr>
      </w:pPr>
    </w:p>
    <w:p>
      <w:pPr>
        <w:pStyle w:val="105"/>
        <w:framePr w:wrap="around"/>
      </w:pPr>
      <w:bookmarkStart w:id="2" w:name="FY"/>
      <w:r>
        <w:rPr>
          <w:rFonts w:hint="eastAsia"/>
        </w:rPr>
        <w:t>社区生活服务</w:t>
      </w:r>
      <w:r>
        <w:rPr>
          <w:rFonts w:hint="eastAsia"/>
          <w:color w:val="auto"/>
          <w:lang w:val="en-US" w:eastAsia="zh-CN"/>
        </w:rPr>
        <w:t>管理</w:t>
      </w:r>
      <w:r>
        <w:rPr>
          <w:rFonts w:hint="eastAsia"/>
        </w:rPr>
        <w:t>指南</w:t>
      </w:r>
    </w:p>
    <w:p>
      <w:pPr>
        <w:pStyle w:val="111"/>
        <w:framePr w:wrap="around"/>
      </w:pPr>
      <w:r>
        <w:rPr>
          <w:rFonts w:hint="eastAsia" w:ascii="黑体" w:hAnsi="黑体" w:cs="黑体"/>
        </w:rPr>
        <w:t>Implementation Guidelines for Community Life Services</w:t>
      </w:r>
    </w:p>
    <w:tbl>
      <w:tblPr>
        <w:tblStyle w:val="37"/>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10"/>
              <w:framePr w:wrap="around"/>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WJrpLVAAAACgEAAA8AAAAAAAAAAQAg&#10;AAAAIgAAAGRycy9kb3ducmV2LnhtbFBLAQIUABQAAAAIAIdO4kBxDxSNEQIAADkEAAAOAAAAAAAA&#10;AAEAIAAAACQBAABkcnMvZTJvRG9jLnhtbFBLBQYAAAAABgAGAFkBAACnBQAAAAA=&#10;">
                      <v:fill on="t" focussize="0,0"/>
                      <v:stroke on="f"/>
                      <v:imagedata o:title=""/>
                      <o:lock v:ext="edit" aspectratio="f"/>
                      <v:textbox>
                        <w:txbxContent>
                          <w:p/>
                        </w:txbxContent>
                      </v:textbox>
                      <w10:anchorlock/>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4Yvl1gAAAAkBAAAPAAAAAAAAAAEA&#10;IAAAACIAAABkcnMvZG93bnJldi54bWxQSwECFAAUAAAACACHTuJA1TNOgRECAAA5BAAADgAAAAAA&#10;AAABACAAAAAlAQAAZHJzL2Uyb0RvYy54bWxQSwUGAAAAAAYABgBZAQAAqAUAAAAA&#10;">
                      <v:fill on="t" focussize="0,0"/>
                      <v:stroke on="f"/>
                      <v:imagedata o:title=""/>
                      <o:lock v:ext="edit" aspectratio="f"/>
                      <v:textbox>
                        <w:txbxContent>
                          <w:p/>
                        </w:txbxContent>
                      </v:textbox>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23"/>
              <w:framePr w:wrap="around"/>
              <w:spacing w:line="240" w:lineRule="auto"/>
              <w:rPr>
                <w:rFonts w:hint="eastAsia" w:eastAsia="宋体"/>
                <w:lang w:eastAsia="zh-CN"/>
              </w:rPr>
            </w:pPr>
            <w:r>
              <w:rPr>
                <w:rFonts w:hint="eastAsia"/>
                <w:b/>
                <w:bCs/>
                <w:sz w:val="36"/>
                <w:szCs w:val="48"/>
                <w:lang w:eastAsia="zh-CN"/>
              </w:rPr>
              <w:t>（征求意见稿）</w:t>
            </w:r>
          </w:p>
        </w:tc>
      </w:tr>
      <w:bookmarkEnd w:id="2"/>
    </w:tbl>
    <w:p>
      <w:pPr>
        <w:pStyle w:val="145"/>
        <w:framePr w:w="2450" w:wrap="around" w:hAnchor="page" w:x="8551" w:y="14446"/>
        <w:spacing w:line="240" w:lineRule="auto"/>
      </w:pPr>
      <w:bookmarkStart w:id="3" w:name="SY"/>
      <w:r>
        <w:rPr>
          <w:rFonts w:hint="eastAsia" w:ascii="黑体"/>
        </w:rPr>
        <w:t>20</w:t>
      </w:r>
      <w:r>
        <w:rPr>
          <w:rFonts w:ascii="黑体"/>
        </w:rPr>
        <w:t>2</w:t>
      </w:r>
      <w:r>
        <w:rPr>
          <w:rFonts w:hint="eastAsia" w:ascii="黑体"/>
        </w:rPr>
        <w:t>X</w:t>
      </w:r>
      <w:r>
        <w:rPr>
          <w:rFonts w:ascii="黑体"/>
        </w:rPr>
        <w:t>-</w:t>
      </w:r>
      <w:r>
        <w:rPr>
          <w:rFonts w:hint="eastAsia" w:ascii="黑体"/>
        </w:rPr>
        <w:t>XX</w:t>
      </w:r>
      <w:r>
        <w:rPr>
          <w:rFonts w:ascii="黑体"/>
        </w:rPr>
        <w:t>-</w:t>
      </w:r>
      <w:r>
        <w:rPr>
          <w:rFonts w:hint="eastAsia" w:ascii="黑体"/>
        </w:rPr>
        <w:t>XX</w:t>
      </w:r>
      <w:r>
        <w:rPr>
          <w:rFonts w:hint="eastAsia"/>
        </w:rPr>
        <w:t>实施</w:t>
      </w:r>
    </w:p>
    <w:bookmarkEnd w:id="3"/>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1"/>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vAlign w:val="center"/>
          </w:tcPr>
          <w:p>
            <w:pPr>
              <w:pStyle w:val="138"/>
              <w:framePr w:wrap="around" w:x="2138" w:y="15205"/>
              <w:spacing w:before="156" w:after="156" w:line="240" w:lineRule="auto"/>
              <w:jc w:val="right"/>
              <w:rPr>
                <w:rFonts w:hAnsi="黑体" w:cs="黑体"/>
                <w:szCs w:val="18"/>
              </w:rPr>
            </w:pPr>
            <w:r>
              <w:rPr>
                <w:rFonts w:hint="eastAsia" w:hAnsi="黑体" w:cs="黑体"/>
                <w:szCs w:val="18"/>
              </w:rPr>
              <w:t>中国物业管理协会</w:t>
            </w:r>
          </w:p>
        </w:tc>
        <w:tc>
          <w:tcPr>
            <w:tcW w:w="1560" w:type="dxa"/>
            <w:vAlign w:val="center"/>
          </w:tcPr>
          <w:p>
            <w:pPr>
              <w:pStyle w:val="138"/>
              <w:framePr w:wrap="around" w:x="2138" w:y="15205"/>
              <w:spacing w:before="156" w:after="156" w:line="240" w:lineRule="auto"/>
              <w:rPr>
                <w:rFonts w:hAnsi="黑体" w:cs="黑体"/>
                <w:szCs w:val="18"/>
              </w:rPr>
            </w:pPr>
            <w:r>
              <w:rPr>
                <w:rFonts w:hint="eastAsia" w:hAnsi="黑体" w:cs="黑体"/>
                <w:szCs w:val="18"/>
              </w:rPr>
              <w:t>发布</w:t>
            </w:r>
          </w:p>
        </w:tc>
      </w:tr>
    </w:tbl>
    <w:p>
      <w:pPr>
        <w:pStyle w:val="138"/>
        <w:framePr w:wrap="around" w:x="2138" w:y="15205"/>
        <w:spacing w:before="156" w:after="156" w:line="240" w:lineRule="auto"/>
        <w:jc w:val="both"/>
      </w:pPr>
      <w:r>
        <w:rPr>
          <w:rFonts w:hint="eastAsia" w:hAnsi="黑体" w:cs="黑体"/>
        </w:rPr>
        <w:t xml:space="preserve">  </w:t>
      </w:r>
    </w:p>
    <w:p>
      <w:pPr>
        <w:pStyle w:val="62"/>
        <w:framePr w:w="2450" w:wrap="around" w:hAnchor="page" w:x="1426" w:y="14416"/>
        <w:spacing w:line="240" w:lineRule="auto"/>
      </w:pPr>
      <w:r>
        <w:rPr>
          <w:rFonts w:hint="eastAsia" w:ascii="黑体"/>
        </w:rPr>
        <w:t>20</w:t>
      </w:r>
      <w:r>
        <w:rPr>
          <w:rFonts w:ascii="黑体"/>
          <w:szCs w:val="22"/>
        </w:rPr>
        <w:t>2</w:t>
      </w:r>
      <w:r>
        <w:rPr>
          <w:rFonts w:hint="eastAsia" w:ascii="黑体"/>
          <w:szCs w:val="22"/>
        </w:rPr>
        <w:t>X-XX-XX</w:t>
      </w:r>
      <w:r>
        <w:rPr>
          <w:rFonts w:hint="eastAsia"/>
        </w:rPr>
        <w:t>发布</w:t>
      </w:r>
    </w:p>
    <w:p>
      <w:pPr>
        <w:pStyle w:val="27"/>
        <w:spacing w:line="240" w:lineRule="auto"/>
        <w:ind w:firstLine="0" w:firstLineChars="0"/>
        <w:sectPr>
          <w:headerReference r:id="rId3" w:type="default"/>
          <w:pgSz w:w="11906" w:h="16838"/>
          <w:pgMar w:top="567" w:right="850" w:bottom="1134" w:left="1418" w:header="0" w:footer="0" w:gutter="0"/>
          <w:pgNumType w:fmt="decimal" w:start="1"/>
          <w:cols w:space="720" w:num="1"/>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2364105</wp:posOffset>
                </wp:positionV>
                <wp:extent cx="6120130" cy="0"/>
                <wp:effectExtent l="0" t="0" r="0" b="0"/>
                <wp:wrapNone/>
                <wp:docPr id="4"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0.55pt;margin-top:186.15pt;height:0pt;width:481.9pt;z-index:251659264;mso-width-relative:page;mso-height-relative:page;" filled="f" stroked="t" coordsize="21600,21600" o:gfxdata="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I9kNcAAAAKAQAADwAAAAAA&#10;AAABACAAAAAiAAAAZHJzL2Rvd25yZXYueG1sUEsBAhQAFAAAAAgAh07iQNiwS6/bAQAAsAMAAA4A&#10;AAAAAAAAAQAgAAAAJg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9193530</wp:posOffset>
                </wp:positionV>
                <wp:extent cx="6120130" cy="0"/>
                <wp:effectExtent l="0" t="0" r="0" b="0"/>
                <wp:wrapNone/>
                <wp:docPr id="3" name="直线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5" o:spid="_x0000_s1026" o:spt="20" style="position:absolute;left:0pt;margin-left:0.7pt;margin-top:723.9pt;height:0pt;width:481.9pt;z-index:251660288;mso-width-relative:page;mso-height-relative:page;" filled="f" stroked="t" coordsize="21600,21600" o:gfxdata="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tjDrdYAAAALAQAADwAAAAAA&#10;AAABACAAAAAiAAAAZHJzL2Rvd25yZXYueG1sUEsBAhQAFAAAAAgAh07iQFj+8JvcAQAAsAMAAA4A&#10;AAAAAAAAAQAgAAAAJQEAAGRycy9lMm9Eb2MueG1sUEsFBgAAAAAGAAYAWQEAAHMFAAAAAA==&#10;">
                <v:fill on="f" focussize="0,0"/>
                <v:stroke color="#000000" joinstyle="round"/>
                <v:imagedata o:title=""/>
                <o:lock v:ext="edit" aspectratio="f"/>
              </v:line>
            </w:pict>
          </mc:Fallback>
        </mc:AlternateContent>
      </w:r>
    </w:p>
    <w:p>
      <w:pPr>
        <w:pStyle w:val="23"/>
        <w:tabs>
          <w:tab w:val="right" w:leader="dot" w:pos="9354"/>
          <w:tab w:val="clear" w:pos="9241"/>
        </w:tabs>
        <w:spacing w:before="640" w:beforeLines="0" w:after="560" w:afterLines="0" w:line="240" w:lineRule="auto"/>
        <w:jc w:val="center"/>
        <w:rPr>
          <w:rFonts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color w:val="000000" w:themeColor="text1"/>
          <w:sz w:val="32"/>
          <w:szCs w:val="32"/>
          <w14:textFill>
            <w14:solidFill>
              <w14:schemeClr w14:val="tx1"/>
            </w14:solidFill>
          </w14:textFill>
        </w:rPr>
        <w:t>  </w:t>
      </w:r>
      <w:r>
        <w:rPr>
          <w:rFonts w:hint="eastAsia" w:ascii="黑体" w:hAnsi="黑体" w:eastAsia="黑体" w:cs="黑体"/>
          <w:sz w:val="32"/>
          <w:szCs w:val="32"/>
        </w:rPr>
        <w:t>次</w:t>
      </w:r>
    </w:p>
    <w:sdt>
      <w:sdtPr>
        <w:rPr>
          <w:rFonts w:ascii="宋体" w:hAnsi="宋体" w:eastAsia="宋体" w:cs="Times New Roman"/>
          <w:kern w:val="2"/>
          <w:sz w:val="21"/>
          <w:szCs w:val="24"/>
          <w:lang w:val="en-US" w:eastAsia="zh-CN" w:bidi="ar-SA"/>
        </w:rPr>
        <w:id w:val="147473335"/>
        <w15:color w:val="DBDBDB"/>
        <w:docPartObj>
          <w:docPartGallery w:val="Table of Contents"/>
          <w:docPartUnique/>
        </w:docPartObj>
      </w:sdtPr>
      <w:sdtEndPr>
        <w:rPr>
          <w:rFonts w:hint="eastAsia" w:ascii="宋体" w:hAnsi="宋体" w:eastAsia="宋体" w:cs="宋体"/>
          <w:b w:val="0"/>
          <w:bCs w:val="0"/>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215"/>
            <w:tabs>
              <w:tab w:val="right" w:leader="dot" w:pos="9354"/>
            </w:tabs>
            <w:spacing w:line="36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TOC \o "1-2" \h \u </w:instrText>
          </w:r>
          <w:r>
            <w:rPr>
              <w:rFonts w:hint="eastAsia" w:ascii="宋体" w:hAnsi="宋体" w:eastAsia="宋体" w:cs="宋体"/>
              <w:b w:val="0"/>
              <w:bCs w:val="0"/>
            </w:rPr>
            <w:fldChar w:fldCharType="separate"/>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_Toc11091 </w:instrText>
          </w:r>
          <w:r>
            <w:rPr>
              <w:rFonts w:hint="eastAsia" w:ascii="宋体" w:hAnsi="宋体" w:eastAsia="宋体" w:cs="宋体"/>
              <w:b w:val="0"/>
              <w:bCs w:val="0"/>
            </w:rPr>
            <w:fldChar w:fldCharType="separate"/>
          </w:r>
          <w:r>
            <w:rPr>
              <w:rFonts w:hint="eastAsia" w:ascii="宋体" w:hAnsi="宋体" w:eastAsia="宋体" w:cs="宋体"/>
              <w:b w:val="0"/>
              <w:bCs w:val="0"/>
              <w:szCs w:val="32"/>
            </w:rPr>
            <w:t>前言</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_Toc11091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360" w:lineRule="auto"/>
            <w:ind w:left="0" w:leftChars="0" w:firstLine="0" w:firstLineChars="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_Toc31059 </w:instrText>
          </w:r>
          <w:r>
            <w:rPr>
              <w:rFonts w:hint="eastAsia" w:ascii="宋体" w:hAnsi="宋体" w:eastAsia="宋体" w:cs="宋体"/>
              <w:b w:val="0"/>
              <w:bCs w:val="0"/>
            </w:rPr>
            <w:fldChar w:fldCharType="separate"/>
          </w:r>
          <w:r>
            <w:rPr>
              <w:rFonts w:hint="eastAsia" w:ascii="宋体" w:hAnsi="宋体" w:eastAsia="宋体" w:cs="宋体"/>
              <w:b w:val="0"/>
              <w:bCs w:val="0"/>
              <w:szCs w:val="21"/>
            </w:rPr>
            <w:t>1 范围</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_Toc31059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360" w:lineRule="auto"/>
            <w:ind w:left="0" w:leftChars="0" w:firstLine="0" w:firstLineChars="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_Toc31331 </w:instrText>
          </w:r>
          <w:r>
            <w:rPr>
              <w:rFonts w:hint="eastAsia" w:ascii="宋体" w:hAnsi="宋体" w:eastAsia="宋体" w:cs="宋体"/>
              <w:b w:val="0"/>
              <w:bCs w:val="0"/>
            </w:rPr>
            <w:fldChar w:fldCharType="separate"/>
          </w:r>
          <w:r>
            <w:rPr>
              <w:rFonts w:hint="eastAsia" w:ascii="宋体" w:hAnsi="宋体" w:eastAsia="宋体" w:cs="宋体"/>
              <w:b w:val="0"/>
              <w:bCs w:val="0"/>
              <w:kern w:val="2"/>
              <w:szCs w:val="21"/>
              <w:lang w:val="en-US" w:eastAsia="zh-CN" w:bidi="ar-SA"/>
            </w:rPr>
            <w:t xml:space="preserve">2 </w:t>
          </w:r>
          <w:r>
            <w:rPr>
              <w:rFonts w:hint="eastAsia" w:ascii="宋体" w:hAnsi="宋体" w:eastAsia="宋体" w:cs="宋体"/>
              <w:b w:val="0"/>
              <w:bCs w:val="0"/>
              <w:szCs w:val="22"/>
            </w:rPr>
            <w:t>规范性引用文件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_Toc31331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360" w:lineRule="auto"/>
            <w:ind w:left="0" w:leftChars="0" w:firstLine="0" w:firstLineChars="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_Toc30412 </w:instrText>
          </w:r>
          <w:r>
            <w:rPr>
              <w:rFonts w:hint="eastAsia" w:ascii="宋体" w:hAnsi="宋体" w:eastAsia="宋体" w:cs="宋体"/>
              <w:b w:val="0"/>
              <w:bCs w:val="0"/>
            </w:rPr>
            <w:fldChar w:fldCharType="separate"/>
          </w:r>
          <w:r>
            <w:rPr>
              <w:rFonts w:hint="eastAsia" w:ascii="宋体" w:hAnsi="宋体" w:eastAsia="宋体" w:cs="宋体"/>
              <w:b w:val="0"/>
              <w:bCs w:val="0"/>
              <w:szCs w:val="21"/>
            </w:rPr>
            <w:t xml:space="preserve">3 </w:t>
          </w:r>
          <w:r>
            <w:rPr>
              <w:rFonts w:hint="eastAsia" w:ascii="宋体" w:hAnsi="宋体" w:eastAsia="宋体" w:cs="宋体"/>
              <w:b w:val="0"/>
              <w:bCs w:val="0"/>
              <w:szCs w:val="22"/>
            </w:rPr>
            <w:t>术语和定义</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_Toc30412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360" w:lineRule="auto"/>
            <w:ind w:left="0" w:leftChars="0" w:firstLine="0" w:firstLineChars="0"/>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_Toc2514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4 服务总则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_Toc2514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_Toc236 </w:instrText>
          </w:r>
          <w:r>
            <w:rPr>
              <w:rFonts w:hint="eastAsia" w:ascii="宋体" w:hAnsi="宋体" w:eastAsia="宋体" w:cs="宋体"/>
              <w:b w:val="0"/>
              <w:bCs w:val="0"/>
            </w:rPr>
            <w:fldChar w:fldCharType="separate"/>
          </w:r>
          <w:r>
            <w:rPr>
              <w:rFonts w:hint="eastAsia" w:ascii="宋体" w:hAnsi="宋体" w:eastAsia="宋体" w:cs="宋体"/>
              <w:b w:val="0"/>
              <w:bCs w:val="0"/>
              <w:szCs w:val="21"/>
            </w:rPr>
            <w:t>4.1.</w:t>
          </w:r>
          <w:r>
            <w:rPr>
              <w:rFonts w:hint="eastAsia" w:ascii="宋体" w:hAnsi="宋体" w:eastAsia="宋体" w:cs="宋体"/>
              <w:b w:val="0"/>
              <w:bCs w:val="0"/>
              <w:szCs w:val="21"/>
              <w:lang w:val="en-US" w:eastAsia="zh-CN"/>
            </w:rPr>
            <w:t>利民便民</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_Toc236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_Toc3929 </w:instrText>
          </w:r>
          <w:r>
            <w:rPr>
              <w:rFonts w:hint="eastAsia" w:ascii="宋体" w:hAnsi="宋体" w:eastAsia="宋体" w:cs="宋体"/>
              <w:b w:val="0"/>
              <w:bCs w:val="0"/>
            </w:rPr>
            <w:fldChar w:fldCharType="separate"/>
          </w:r>
          <w:r>
            <w:rPr>
              <w:rFonts w:hint="eastAsia" w:ascii="宋体" w:hAnsi="宋体" w:eastAsia="宋体" w:cs="宋体"/>
              <w:b w:val="0"/>
              <w:bCs w:val="0"/>
              <w:szCs w:val="21"/>
            </w:rPr>
            <w:t>4.</w:t>
          </w:r>
          <w:r>
            <w:rPr>
              <w:rFonts w:hint="eastAsia" w:ascii="宋体" w:hAnsi="宋体" w:eastAsia="宋体" w:cs="宋体"/>
              <w:b w:val="0"/>
              <w:bCs w:val="0"/>
              <w:szCs w:val="21"/>
              <w:lang w:val="en-US" w:eastAsia="zh-CN"/>
            </w:rPr>
            <w:t>2 共建共享</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_Toc3929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_Toc14866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4.3 规范有序</w:t>
          </w:r>
          <w:r>
            <w:rPr>
              <w:rFonts w:hint="eastAsia" w:ascii="宋体" w:hAnsi="宋体" w:eastAsia="宋体" w:cs="宋体"/>
              <w:b w:val="0"/>
              <w:bCs w:val="0"/>
            </w:rPr>
            <w:tab/>
          </w:r>
          <w:r>
            <w:rPr>
              <w:rFonts w:hint="eastAsia" w:ascii="宋体" w:hAnsi="宋体" w:eastAsia="宋体" w:cs="宋体"/>
              <w:b w:val="0"/>
              <w:bCs w:val="0"/>
              <w:lang w:val="en-US" w:eastAsia="zh-CN"/>
            </w:rPr>
            <w:t>1</w:t>
          </w:r>
          <w:r>
            <w:rPr>
              <w:rFonts w:hint="eastAsia" w:ascii="宋体" w:hAnsi="宋体" w:eastAsia="宋体" w:cs="宋体"/>
              <w:b w:val="0"/>
              <w:bCs w:val="0"/>
            </w:rPr>
            <w:fldChar w:fldCharType="end"/>
          </w:r>
        </w:p>
        <w:p>
          <w:pPr>
            <w:pStyle w:val="215"/>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_Toc25688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5 服务能力保障</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_Toc25688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_Toc8424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 xml:space="preserve">5.1 </w:t>
          </w:r>
          <w:r>
            <w:rPr>
              <w:rFonts w:hint="eastAsia" w:ascii="宋体" w:hAnsi="宋体" w:eastAsia="宋体" w:cs="宋体"/>
              <w:b w:val="0"/>
              <w:bCs w:val="0"/>
              <w:lang w:val="en-US" w:eastAsia="zh-CN"/>
            </w:rPr>
            <w:t>服务机构</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_Toc8424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_Toc18688 </w:instrText>
          </w:r>
          <w:r>
            <w:rPr>
              <w:rFonts w:hint="eastAsia" w:ascii="宋体" w:hAnsi="宋体" w:eastAsia="宋体" w:cs="宋体"/>
              <w:b w:val="0"/>
              <w:bCs w:val="0"/>
            </w:rPr>
            <w:fldChar w:fldCharType="separate"/>
          </w:r>
          <w:r>
            <w:rPr>
              <w:rFonts w:hint="eastAsia" w:ascii="宋体" w:hAnsi="宋体" w:eastAsia="宋体" w:cs="宋体"/>
              <w:b w:val="0"/>
              <w:bCs w:val="0"/>
              <w:lang w:val="en-US" w:eastAsia="zh-CN"/>
            </w:rPr>
            <w:t>5.2 服务人员</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_Toc18688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_Toc18324 </w:instrText>
          </w:r>
          <w:r>
            <w:rPr>
              <w:rFonts w:hint="eastAsia" w:ascii="宋体" w:hAnsi="宋体" w:eastAsia="宋体" w:cs="宋体"/>
              <w:b w:val="0"/>
              <w:bCs w:val="0"/>
            </w:rPr>
            <w:fldChar w:fldCharType="separate"/>
          </w:r>
          <w:r>
            <w:rPr>
              <w:rFonts w:hint="eastAsia" w:ascii="宋体" w:hAnsi="宋体" w:eastAsia="宋体" w:cs="宋体"/>
              <w:b w:val="0"/>
              <w:bCs w:val="0"/>
              <w:lang w:val="en-US" w:eastAsia="zh-CN"/>
            </w:rPr>
            <w:t>5.3 资料管理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_Toc18324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_Toc30385 </w:instrText>
          </w:r>
          <w:r>
            <w:rPr>
              <w:rFonts w:hint="eastAsia" w:ascii="宋体" w:hAnsi="宋体" w:eastAsia="宋体" w:cs="宋体"/>
              <w:b w:val="0"/>
              <w:bCs w:val="0"/>
            </w:rPr>
            <w:fldChar w:fldCharType="separate"/>
          </w:r>
          <w:r>
            <w:rPr>
              <w:rFonts w:hint="eastAsia" w:ascii="宋体" w:hAnsi="宋体" w:eastAsia="宋体" w:cs="宋体"/>
              <w:b w:val="0"/>
              <w:bCs w:val="0"/>
              <w:lang w:val="en-US" w:eastAsia="zh-CN"/>
            </w:rPr>
            <w:t>5.4 智慧化与绿色</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_Toc30385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_Toc31358 </w:instrText>
          </w:r>
          <w:r>
            <w:rPr>
              <w:rFonts w:hint="eastAsia" w:ascii="宋体" w:hAnsi="宋体" w:eastAsia="宋体" w:cs="宋体"/>
              <w:b w:val="0"/>
              <w:bCs w:val="0"/>
            </w:rPr>
            <w:fldChar w:fldCharType="separate"/>
          </w:r>
          <w:r>
            <w:rPr>
              <w:rFonts w:hint="eastAsia" w:ascii="宋体" w:hAnsi="宋体" w:eastAsia="宋体" w:cs="宋体"/>
              <w:b w:val="0"/>
              <w:bCs w:val="0"/>
              <w:lang w:val="en-US" w:eastAsia="zh-CN"/>
            </w:rPr>
            <w:t>5.5 安全与应急</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_Toc31358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5"/>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_Toc18070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6</w:t>
          </w:r>
          <w:r>
            <w:rPr>
              <w:rFonts w:hint="eastAsia" w:ascii="宋体" w:hAnsi="宋体" w:eastAsia="宋体" w:cs="宋体"/>
              <w:b w:val="0"/>
              <w:bCs w:val="0"/>
              <w:szCs w:val="21"/>
            </w:rPr>
            <w:t xml:space="preserve"> </w:t>
          </w:r>
          <w:r>
            <w:rPr>
              <w:rFonts w:hint="eastAsia" w:ascii="宋体" w:hAnsi="宋体" w:eastAsia="宋体" w:cs="宋体"/>
              <w:b w:val="0"/>
              <w:bCs w:val="0"/>
              <w:szCs w:val="21"/>
              <w:lang w:val="en-US" w:eastAsia="zh-CN"/>
            </w:rPr>
            <w:t>服务</w:t>
          </w:r>
          <w:r>
            <w:rPr>
              <w:rFonts w:hint="eastAsia" w:ascii="宋体" w:hAnsi="宋体" w:eastAsia="宋体" w:cs="宋体"/>
              <w:b w:val="0"/>
              <w:bCs w:val="0"/>
              <w:szCs w:val="21"/>
            </w:rPr>
            <w:t>策划</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_Toc18070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_Toc31493 </w:instrText>
          </w:r>
          <w:r>
            <w:rPr>
              <w:rFonts w:hint="eastAsia" w:ascii="宋体" w:hAnsi="宋体" w:eastAsia="宋体" w:cs="宋体"/>
              <w:b w:val="0"/>
              <w:bCs w:val="0"/>
            </w:rPr>
            <w:fldChar w:fldCharType="separate"/>
          </w:r>
          <w:r>
            <w:rPr>
              <w:rFonts w:hint="eastAsia" w:ascii="宋体" w:hAnsi="宋体" w:eastAsia="宋体" w:cs="宋体"/>
              <w:b w:val="0"/>
              <w:bCs w:val="0"/>
              <w:kern w:val="2"/>
              <w:szCs w:val="21"/>
              <w:lang w:val="en-US" w:eastAsia="zh-CN" w:bidi="ar-SA"/>
            </w:rPr>
            <w:t>6.1 需求识别</w:t>
          </w:r>
          <w:r>
            <w:rPr>
              <w:rFonts w:hint="eastAsia" w:ascii="宋体" w:hAnsi="宋体" w:eastAsia="宋体" w:cs="宋体"/>
              <w:b w:val="0"/>
              <w:bCs w:val="0"/>
            </w:rPr>
            <w:tab/>
          </w:r>
          <w:r>
            <w:rPr>
              <w:rFonts w:hint="eastAsia" w:ascii="宋体" w:hAnsi="宋体" w:eastAsia="宋体" w:cs="宋体"/>
              <w:b w:val="0"/>
              <w:bCs w:val="0"/>
              <w:lang w:val="en-US" w:eastAsia="zh-CN"/>
            </w:rPr>
            <w:t>2</w:t>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_Toc30214 </w:instrText>
          </w:r>
          <w:r>
            <w:rPr>
              <w:rFonts w:hint="eastAsia" w:ascii="宋体" w:hAnsi="宋体" w:eastAsia="宋体" w:cs="宋体"/>
              <w:b w:val="0"/>
              <w:bCs w:val="0"/>
            </w:rPr>
            <w:fldChar w:fldCharType="separate"/>
          </w:r>
          <w:r>
            <w:rPr>
              <w:rFonts w:hint="eastAsia" w:ascii="宋体" w:hAnsi="宋体" w:eastAsia="宋体" w:cs="宋体"/>
              <w:b w:val="0"/>
              <w:bCs w:val="0"/>
              <w:kern w:val="2"/>
              <w:szCs w:val="21"/>
              <w:lang w:val="en-US" w:eastAsia="zh-CN" w:bidi="ar-SA"/>
            </w:rPr>
            <w:t>6.2 需求分析</w:t>
          </w:r>
          <w:r>
            <w:rPr>
              <w:rFonts w:hint="eastAsia" w:ascii="宋体" w:hAnsi="宋体" w:eastAsia="宋体" w:cs="宋体"/>
              <w:b w:val="0"/>
              <w:bCs w:val="0"/>
            </w:rPr>
            <w:tab/>
          </w:r>
          <w:r>
            <w:rPr>
              <w:rFonts w:hint="eastAsia" w:ascii="宋体" w:hAnsi="宋体" w:eastAsia="宋体" w:cs="宋体"/>
              <w:b w:val="0"/>
              <w:bCs w:val="0"/>
              <w:lang w:val="en-US" w:eastAsia="zh-CN"/>
            </w:rPr>
            <w:t>2</w:t>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_Toc21703 </w:instrText>
          </w:r>
          <w:r>
            <w:rPr>
              <w:rFonts w:hint="eastAsia" w:ascii="宋体" w:hAnsi="宋体" w:eastAsia="宋体" w:cs="宋体"/>
              <w:b w:val="0"/>
              <w:bCs w:val="0"/>
            </w:rPr>
            <w:fldChar w:fldCharType="separate"/>
          </w:r>
          <w:r>
            <w:rPr>
              <w:rFonts w:hint="eastAsia" w:ascii="宋体" w:hAnsi="宋体" w:eastAsia="宋体" w:cs="宋体"/>
              <w:b w:val="0"/>
              <w:bCs w:val="0"/>
              <w:kern w:val="2"/>
              <w:szCs w:val="21"/>
              <w:lang w:val="en-US" w:eastAsia="zh-CN" w:bidi="ar-SA"/>
            </w:rPr>
            <w:t>6.3 服务设计</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_Toc21703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5"/>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_Toc16166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 xml:space="preserve">7 </w:t>
          </w:r>
          <w:r>
            <w:rPr>
              <w:rFonts w:hint="eastAsia" w:ascii="宋体" w:hAnsi="宋体" w:eastAsia="宋体" w:cs="宋体"/>
              <w:b w:val="0"/>
              <w:bCs w:val="0"/>
              <w:szCs w:val="21"/>
            </w:rPr>
            <w:t>服务实施</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_Toc16166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_Toc19027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7</w:t>
          </w:r>
          <w:r>
            <w:rPr>
              <w:rFonts w:hint="eastAsia" w:ascii="宋体" w:hAnsi="宋体" w:eastAsia="宋体" w:cs="宋体"/>
              <w:b w:val="0"/>
              <w:bCs w:val="0"/>
              <w:szCs w:val="21"/>
            </w:rPr>
            <w:t xml:space="preserve">.1 </w:t>
          </w:r>
          <w:r>
            <w:rPr>
              <w:rFonts w:hint="eastAsia" w:ascii="宋体" w:hAnsi="宋体" w:eastAsia="宋体" w:cs="宋体"/>
              <w:b w:val="0"/>
              <w:bCs w:val="0"/>
              <w:szCs w:val="21"/>
              <w:lang w:val="en-US" w:eastAsia="zh-CN"/>
            </w:rPr>
            <w:t>社区文化活动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_Toc19027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_Toc28510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7.2 社区居家养老服务</w:t>
          </w:r>
          <w:r>
            <w:rPr>
              <w:rFonts w:hint="eastAsia" w:ascii="宋体" w:hAnsi="宋体" w:eastAsia="宋体" w:cs="宋体"/>
              <w:b w:val="0"/>
              <w:bCs w:val="0"/>
            </w:rPr>
            <w:tab/>
          </w:r>
          <w:r>
            <w:rPr>
              <w:rFonts w:hint="eastAsia" w:ascii="宋体" w:hAnsi="宋体" w:eastAsia="宋体" w:cs="宋体"/>
              <w:b w:val="0"/>
              <w:bCs w:val="0"/>
              <w:lang w:val="en-US" w:eastAsia="zh-CN"/>
            </w:rPr>
            <w:t>3</w:t>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_Toc31803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7</w:t>
          </w:r>
          <w:r>
            <w:rPr>
              <w:rFonts w:hint="eastAsia" w:ascii="宋体" w:hAnsi="宋体" w:eastAsia="宋体" w:cs="宋体"/>
              <w:b w:val="0"/>
              <w:bCs w:val="0"/>
              <w:szCs w:val="21"/>
            </w:rPr>
            <w:t>.</w:t>
          </w:r>
          <w:r>
            <w:rPr>
              <w:rFonts w:hint="eastAsia" w:ascii="宋体" w:hAnsi="宋体" w:eastAsia="宋体" w:cs="宋体"/>
              <w:b w:val="0"/>
              <w:bCs w:val="0"/>
              <w:szCs w:val="21"/>
              <w:lang w:val="en-US" w:eastAsia="zh-CN"/>
            </w:rPr>
            <w:t>3</w:t>
          </w:r>
          <w:r>
            <w:rPr>
              <w:rFonts w:hint="eastAsia" w:ascii="宋体" w:hAnsi="宋体" w:eastAsia="宋体" w:cs="宋体"/>
              <w:b w:val="0"/>
              <w:bCs w:val="0"/>
              <w:szCs w:val="21"/>
            </w:rPr>
            <w:t xml:space="preserve"> </w:t>
          </w:r>
          <w:r>
            <w:rPr>
              <w:rFonts w:hint="eastAsia" w:ascii="宋体" w:hAnsi="宋体" w:eastAsia="宋体" w:cs="宋体"/>
              <w:b w:val="0"/>
              <w:bCs w:val="0"/>
              <w:szCs w:val="21"/>
              <w:lang w:val="en-US" w:eastAsia="zh-CN"/>
            </w:rPr>
            <w:t>社区餐饮服务</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_Toc31803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_Toc12951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7.4 家政</w:t>
          </w:r>
          <w:r>
            <w:rPr>
              <w:rFonts w:hint="eastAsia" w:ascii="宋体" w:hAnsi="宋体" w:eastAsia="宋体" w:cs="宋体"/>
              <w:b w:val="0"/>
              <w:bCs w:val="0"/>
              <w:szCs w:val="21"/>
            </w:rPr>
            <w:t>服务</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_Toc12951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_Toc17887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7</w:t>
          </w:r>
          <w:r>
            <w:rPr>
              <w:rFonts w:hint="eastAsia" w:ascii="宋体" w:hAnsi="宋体" w:eastAsia="宋体" w:cs="宋体"/>
              <w:b w:val="0"/>
              <w:bCs w:val="0"/>
              <w:szCs w:val="21"/>
            </w:rPr>
            <w:t>.</w:t>
          </w:r>
          <w:r>
            <w:rPr>
              <w:rFonts w:hint="eastAsia" w:ascii="宋体" w:hAnsi="宋体" w:eastAsia="宋体" w:cs="宋体"/>
              <w:b w:val="0"/>
              <w:bCs w:val="0"/>
              <w:szCs w:val="21"/>
              <w:lang w:val="en-US" w:eastAsia="zh-CN"/>
            </w:rPr>
            <w:t>5 装饰装修</w:t>
          </w:r>
          <w:r>
            <w:rPr>
              <w:rFonts w:hint="eastAsia" w:ascii="宋体" w:hAnsi="宋体" w:eastAsia="宋体" w:cs="宋体"/>
              <w:b w:val="0"/>
              <w:bCs w:val="0"/>
              <w:szCs w:val="21"/>
            </w:rPr>
            <w:t>服务</w:t>
          </w:r>
          <w:r>
            <w:rPr>
              <w:rFonts w:hint="eastAsia" w:ascii="宋体" w:hAnsi="宋体" w:eastAsia="宋体" w:cs="宋体"/>
              <w:b w:val="0"/>
              <w:bCs w:val="0"/>
            </w:rPr>
            <w:tab/>
          </w:r>
          <w:r>
            <w:rPr>
              <w:rFonts w:hint="eastAsia" w:ascii="宋体" w:hAnsi="宋体" w:eastAsia="宋体" w:cs="宋体"/>
              <w:b w:val="0"/>
              <w:bCs w:val="0"/>
            </w:rPr>
            <w:fldChar w:fldCharType="end"/>
          </w:r>
          <w:r>
            <w:rPr>
              <w:rFonts w:hint="eastAsia" w:ascii="宋体" w:hAnsi="宋体" w:eastAsia="宋体" w:cs="宋体"/>
              <w:b w:val="0"/>
              <w:bCs w:val="0"/>
              <w:lang w:val="en-US" w:eastAsia="zh-CN"/>
            </w:rPr>
            <w:t>6</w:t>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_Toc16740 </w:instrText>
          </w:r>
          <w:r>
            <w:rPr>
              <w:rFonts w:hint="eastAsia" w:ascii="宋体" w:hAnsi="宋体" w:eastAsia="宋体" w:cs="宋体"/>
              <w:b w:val="0"/>
              <w:bCs w:val="0"/>
            </w:rPr>
            <w:fldChar w:fldCharType="separate"/>
          </w:r>
          <w:r>
            <w:rPr>
              <w:rFonts w:hint="eastAsia" w:ascii="宋体" w:hAnsi="宋体" w:eastAsia="宋体" w:cs="宋体"/>
              <w:b w:val="0"/>
              <w:bCs w:val="0"/>
              <w:szCs w:val="21"/>
              <w:highlight w:val="none"/>
              <w:lang w:val="en-US" w:eastAsia="zh-CN"/>
            </w:rPr>
            <w:t>7.6 房地产经纪服务</w:t>
          </w:r>
          <w:r>
            <w:rPr>
              <w:rFonts w:hint="eastAsia" w:ascii="宋体" w:hAnsi="宋体" w:eastAsia="宋体" w:cs="宋体"/>
              <w:b w:val="0"/>
              <w:bCs w:val="0"/>
            </w:rPr>
            <w:tab/>
          </w:r>
          <w:r>
            <w:rPr>
              <w:rFonts w:hint="eastAsia" w:ascii="宋体" w:hAnsi="宋体" w:eastAsia="宋体" w:cs="宋体"/>
              <w:b w:val="0"/>
              <w:bCs w:val="0"/>
              <w:lang w:val="en-US" w:eastAsia="zh-CN"/>
            </w:rPr>
            <w:t>6</w:t>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_Toc25961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7</w:t>
          </w:r>
          <w:r>
            <w:rPr>
              <w:rFonts w:hint="eastAsia" w:ascii="宋体" w:hAnsi="宋体" w:eastAsia="宋体" w:cs="宋体"/>
              <w:b w:val="0"/>
              <w:bCs w:val="0"/>
              <w:szCs w:val="21"/>
            </w:rPr>
            <w:t>.</w:t>
          </w:r>
          <w:r>
            <w:rPr>
              <w:rFonts w:hint="eastAsia" w:ascii="宋体" w:hAnsi="宋体" w:eastAsia="宋体" w:cs="宋体"/>
              <w:b w:val="0"/>
              <w:bCs w:val="0"/>
              <w:szCs w:val="21"/>
              <w:lang w:val="en-US" w:eastAsia="zh-CN"/>
            </w:rPr>
            <w:t>7</w:t>
          </w:r>
          <w:r>
            <w:rPr>
              <w:rFonts w:hint="eastAsia" w:ascii="宋体" w:hAnsi="宋体" w:eastAsia="宋体" w:cs="宋体"/>
              <w:b w:val="0"/>
              <w:bCs w:val="0"/>
              <w:szCs w:val="21"/>
            </w:rPr>
            <w:t xml:space="preserve"> </w:t>
          </w:r>
          <w:r>
            <w:rPr>
              <w:rFonts w:hint="eastAsia" w:ascii="宋体" w:hAnsi="宋体" w:eastAsia="宋体" w:cs="宋体"/>
              <w:b w:val="0"/>
              <w:bCs w:val="0"/>
              <w:szCs w:val="21"/>
              <w:lang w:val="en-US" w:eastAsia="zh-CN"/>
            </w:rPr>
            <w:t>社区</w:t>
          </w:r>
          <w:r>
            <w:rPr>
              <w:rFonts w:hint="eastAsia" w:ascii="宋体" w:hAnsi="宋体" w:eastAsia="宋体" w:cs="宋体"/>
              <w:b w:val="0"/>
              <w:bCs w:val="0"/>
              <w:szCs w:val="21"/>
            </w:rPr>
            <w:t>零售</w:t>
          </w:r>
          <w:r>
            <w:rPr>
              <w:rFonts w:hint="eastAsia" w:ascii="宋体" w:hAnsi="宋体" w:eastAsia="宋体" w:cs="宋体"/>
              <w:b w:val="0"/>
              <w:bCs w:val="0"/>
              <w:szCs w:val="21"/>
              <w:lang w:val="en-US" w:eastAsia="zh-CN"/>
            </w:rPr>
            <w:t>服务</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_Toc25961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16"/>
            <w:tabs>
              <w:tab w:val="right" w:leader="dot" w:pos="9354"/>
            </w:tabs>
            <w:spacing w:line="240" w:lineRule="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7.8 有害生物防制</w:t>
          </w:r>
          <w:r>
            <w:rPr>
              <w:rFonts w:hint="eastAsia" w:ascii="宋体" w:hAnsi="宋体" w:eastAsia="宋体" w:cs="宋体"/>
              <w:b w:val="0"/>
              <w:bCs w:val="0"/>
            </w:rPr>
            <w:tab/>
          </w:r>
          <w:r>
            <w:rPr>
              <w:rFonts w:hint="eastAsia" w:ascii="宋体" w:hAnsi="宋体" w:eastAsia="宋体" w:cs="宋体"/>
              <w:b w:val="0"/>
              <w:bCs w:val="0"/>
              <w:lang w:val="en-US" w:eastAsia="zh-CN"/>
            </w:rPr>
            <w:t>8</w:t>
          </w:r>
        </w:p>
        <w:p>
          <w:pPr>
            <w:pStyle w:val="216"/>
            <w:tabs>
              <w:tab w:val="right" w:leader="dot" w:pos="9354"/>
            </w:tabs>
            <w:spacing w:line="240" w:lineRule="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7.9 社区金融保险服务</w:t>
          </w:r>
          <w:r>
            <w:rPr>
              <w:rFonts w:hint="eastAsia" w:ascii="宋体" w:hAnsi="宋体" w:eastAsia="宋体" w:cs="宋体"/>
              <w:b w:val="0"/>
              <w:bCs w:val="0"/>
            </w:rPr>
            <w:tab/>
          </w:r>
          <w:r>
            <w:rPr>
              <w:rFonts w:hint="eastAsia" w:ascii="宋体" w:hAnsi="宋体" w:eastAsia="宋体" w:cs="宋体"/>
              <w:b w:val="0"/>
              <w:bCs w:val="0"/>
              <w:lang w:val="en-US" w:eastAsia="zh-CN"/>
            </w:rPr>
            <w:t>8</w:t>
          </w:r>
        </w:p>
        <w:p>
          <w:pPr>
            <w:pStyle w:val="215"/>
            <w:tabs>
              <w:tab w:val="right" w:leader="dot" w:pos="9354"/>
            </w:tabs>
            <w:spacing w:line="240" w:lineRule="auto"/>
            <w:rPr>
              <w:rFonts w:hint="eastAsia" w:ascii="宋体" w:hAnsi="宋体" w:eastAsia="宋体" w:cs="宋体"/>
              <w:b w:val="0"/>
              <w:bCs w:val="0"/>
              <w:lang w:eastAsia="zh-CN"/>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_Toc20872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 xml:space="preserve">8 </w:t>
          </w:r>
          <w:r>
            <w:rPr>
              <w:rFonts w:hint="eastAsia" w:ascii="宋体" w:hAnsi="宋体" w:eastAsia="宋体" w:cs="宋体"/>
              <w:b w:val="0"/>
              <w:bCs w:val="0"/>
              <w:szCs w:val="21"/>
            </w:rPr>
            <w:t>服务评价与改进</w:t>
          </w:r>
          <w:r>
            <w:rPr>
              <w:rFonts w:hint="eastAsia" w:ascii="宋体" w:hAnsi="宋体" w:eastAsia="宋体" w:cs="宋体"/>
              <w:b w:val="0"/>
              <w:bCs w:val="0"/>
            </w:rPr>
            <w:tab/>
          </w:r>
          <w:r>
            <w:rPr>
              <w:rFonts w:hint="eastAsia" w:ascii="宋体" w:hAnsi="宋体" w:eastAsia="宋体" w:cs="宋体"/>
              <w:b w:val="0"/>
              <w:bCs w:val="0"/>
            </w:rPr>
            <w:fldChar w:fldCharType="end"/>
          </w:r>
          <w:r>
            <w:rPr>
              <w:rFonts w:hint="eastAsia" w:ascii="宋体" w:hAnsi="宋体" w:eastAsia="宋体" w:cs="宋体"/>
              <w:b w:val="0"/>
              <w:bCs w:val="0"/>
              <w:lang w:val="en-US" w:eastAsia="zh-CN"/>
            </w:rPr>
            <w:t>9</w:t>
          </w:r>
        </w:p>
        <w:p>
          <w:pPr>
            <w:pStyle w:val="216"/>
            <w:tabs>
              <w:tab w:val="right" w:leader="dot" w:pos="9354"/>
            </w:tabs>
            <w:spacing w:line="240" w:lineRule="auto"/>
            <w:rPr>
              <w:rFonts w:hint="eastAsia" w:ascii="宋体" w:hAnsi="宋体" w:eastAsia="宋体" w:cs="宋体"/>
              <w:b w:val="0"/>
              <w:bCs w:val="0"/>
              <w:lang w:eastAsia="zh-CN"/>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_Toc28883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8</w:t>
          </w:r>
          <w:r>
            <w:rPr>
              <w:rFonts w:hint="eastAsia" w:ascii="宋体" w:hAnsi="宋体" w:eastAsia="宋体" w:cs="宋体"/>
              <w:b w:val="0"/>
              <w:bCs w:val="0"/>
              <w:szCs w:val="21"/>
            </w:rPr>
            <w:t>.1</w:t>
          </w: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服务监督</w:t>
          </w:r>
          <w:r>
            <w:rPr>
              <w:rFonts w:hint="eastAsia" w:ascii="宋体" w:hAnsi="宋体" w:eastAsia="宋体" w:cs="宋体"/>
              <w:b w:val="0"/>
              <w:bCs w:val="0"/>
            </w:rPr>
            <w:tab/>
          </w:r>
          <w:r>
            <w:rPr>
              <w:rFonts w:hint="eastAsia" w:ascii="宋体" w:hAnsi="宋体" w:eastAsia="宋体" w:cs="宋体"/>
              <w:b w:val="0"/>
              <w:bCs w:val="0"/>
            </w:rPr>
            <w:fldChar w:fldCharType="end"/>
          </w:r>
          <w:r>
            <w:rPr>
              <w:rFonts w:hint="eastAsia" w:ascii="宋体" w:hAnsi="宋体" w:eastAsia="宋体" w:cs="宋体"/>
              <w:b w:val="0"/>
              <w:bCs w:val="0"/>
              <w:lang w:val="en-US" w:eastAsia="zh-CN"/>
            </w:rPr>
            <w:t>9</w:t>
          </w:r>
        </w:p>
        <w:p>
          <w:pPr>
            <w:pStyle w:val="216"/>
            <w:tabs>
              <w:tab w:val="right" w:leader="dot" w:pos="9354"/>
            </w:tabs>
            <w:spacing w:line="240" w:lineRule="auto"/>
            <w:rPr>
              <w:rFonts w:hint="eastAsia" w:ascii="宋体" w:hAnsi="宋体" w:eastAsia="宋体" w:cs="宋体"/>
              <w:b w:val="0"/>
              <w:bCs w:val="0"/>
              <w:lang w:eastAsia="zh-CN"/>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_Toc25451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8</w:t>
          </w:r>
          <w:r>
            <w:rPr>
              <w:rFonts w:hint="eastAsia" w:ascii="宋体" w:hAnsi="宋体" w:eastAsia="宋体" w:cs="宋体"/>
              <w:b w:val="0"/>
              <w:bCs w:val="0"/>
              <w:szCs w:val="21"/>
            </w:rPr>
            <w:t>.</w:t>
          </w:r>
          <w:r>
            <w:rPr>
              <w:rFonts w:hint="eastAsia" w:ascii="宋体" w:hAnsi="宋体" w:eastAsia="宋体" w:cs="宋体"/>
              <w:b w:val="0"/>
              <w:bCs w:val="0"/>
              <w:szCs w:val="21"/>
              <w:lang w:val="en-US" w:eastAsia="zh-CN"/>
            </w:rPr>
            <w:t xml:space="preserve">2 </w:t>
          </w:r>
          <w:r>
            <w:rPr>
              <w:rFonts w:hint="eastAsia" w:ascii="宋体" w:hAnsi="宋体" w:eastAsia="宋体" w:cs="宋体"/>
              <w:b w:val="0"/>
              <w:bCs w:val="0"/>
              <w:szCs w:val="21"/>
            </w:rPr>
            <w:t>服务评价</w:t>
          </w:r>
          <w:r>
            <w:rPr>
              <w:rFonts w:hint="eastAsia" w:ascii="宋体" w:hAnsi="宋体" w:eastAsia="宋体" w:cs="宋体"/>
              <w:b w:val="0"/>
              <w:bCs w:val="0"/>
            </w:rPr>
            <w:tab/>
          </w:r>
          <w:r>
            <w:rPr>
              <w:rFonts w:hint="eastAsia" w:ascii="宋体" w:hAnsi="宋体" w:eastAsia="宋体" w:cs="宋体"/>
              <w:b w:val="0"/>
              <w:bCs w:val="0"/>
            </w:rPr>
            <w:fldChar w:fldCharType="end"/>
          </w:r>
          <w:r>
            <w:rPr>
              <w:rFonts w:hint="eastAsia" w:ascii="宋体" w:hAnsi="宋体" w:eastAsia="宋体" w:cs="宋体"/>
              <w:b w:val="0"/>
              <w:bCs w:val="0"/>
              <w:lang w:val="en-US" w:eastAsia="zh-CN"/>
            </w:rPr>
            <w:t>9</w:t>
          </w:r>
        </w:p>
        <w:p>
          <w:pPr>
            <w:pStyle w:val="216"/>
            <w:tabs>
              <w:tab w:val="right" w:leader="dot" w:pos="9354"/>
            </w:tabs>
            <w:spacing w:line="240" w:lineRule="auto"/>
            <w:rPr>
              <w:rFonts w:hint="eastAsia" w:ascii="宋体" w:hAnsi="宋体" w:eastAsia="宋体" w:cs="宋体"/>
              <w:b w:val="0"/>
              <w:bCs w:val="0"/>
              <w:lang w:eastAsia="zh-CN"/>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_Toc26604 </w:instrText>
          </w:r>
          <w:r>
            <w:rPr>
              <w:rFonts w:hint="eastAsia" w:ascii="宋体" w:hAnsi="宋体" w:eastAsia="宋体" w:cs="宋体"/>
              <w:b w:val="0"/>
              <w:bCs w:val="0"/>
            </w:rPr>
            <w:fldChar w:fldCharType="separate"/>
          </w:r>
          <w:r>
            <w:rPr>
              <w:rFonts w:hint="eastAsia" w:ascii="宋体" w:hAnsi="宋体" w:eastAsia="宋体" w:cs="宋体"/>
              <w:b w:val="0"/>
              <w:bCs w:val="0"/>
              <w:szCs w:val="21"/>
              <w:lang w:val="en-US" w:eastAsia="zh-CN"/>
            </w:rPr>
            <w:t>8</w:t>
          </w:r>
          <w:r>
            <w:rPr>
              <w:rFonts w:hint="eastAsia" w:ascii="宋体" w:hAnsi="宋体" w:eastAsia="宋体" w:cs="宋体"/>
              <w:b w:val="0"/>
              <w:bCs w:val="0"/>
              <w:szCs w:val="21"/>
            </w:rPr>
            <w:t>.</w:t>
          </w:r>
          <w:r>
            <w:rPr>
              <w:rFonts w:hint="eastAsia" w:ascii="宋体" w:hAnsi="宋体" w:eastAsia="宋体" w:cs="宋体"/>
              <w:b w:val="0"/>
              <w:bCs w:val="0"/>
              <w:szCs w:val="21"/>
              <w:lang w:val="en-US" w:eastAsia="zh-CN"/>
            </w:rPr>
            <w:t>3</w:t>
          </w:r>
          <w:r>
            <w:rPr>
              <w:rFonts w:hint="eastAsia" w:ascii="宋体" w:hAnsi="宋体" w:eastAsia="宋体" w:cs="宋体"/>
              <w:b w:val="0"/>
              <w:bCs w:val="0"/>
              <w:szCs w:val="21"/>
            </w:rPr>
            <w:t xml:space="preserve"> 服务改进</w:t>
          </w:r>
          <w:r>
            <w:rPr>
              <w:rFonts w:hint="eastAsia" w:ascii="宋体" w:hAnsi="宋体" w:eastAsia="宋体" w:cs="宋体"/>
              <w:b w:val="0"/>
              <w:bCs w:val="0"/>
            </w:rPr>
            <w:tab/>
          </w:r>
          <w:r>
            <w:rPr>
              <w:rFonts w:hint="eastAsia" w:ascii="宋体" w:hAnsi="宋体" w:eastAsia="宋体" w:cs="宋体"/>
              <w:b w:val="0"/>
              <w:bCs w:val="0"/>
            </w:rPr>
            <w:fldChar w:fldCharType="end"/>
          </w:r>
          <w:r>
            <w:rPr>
              <w:rFonts w:hint="eastAsia" w:ascii="宋体" w:hAnsi="宋体" w:eastAsia="宋体" w:cs="宋体"/>
              <w:b w:val="0"/>
              <w:bCs w:val="0"/>
              <w:lang w:val="en-US" w:eastAsia="zh-CN"/>
            </w:rPr>
            <w:t>9</w:t>
          </w:r>
        </w:p>
        <w:p>
          <w:pPr>
            <w:pStyle w:val="215"/>
            <w:tabs>
              <w:tab w:val="right" w:leader="dot" w:pos="9354"/>
            </w:tabs>
            <w:spacing w:line="240" w:lineRule="auto"/>
            <w:rPr>
              <w:rFonts w:hint="default" w:ascii="宋体" w:hAnsi="宋体" w:eastAsia="宋体" w:cs="宋体"/>
              <w:b w:val="0"/>
              <w:bCs w:val="0"/>
              <w:lang w:val="en-US"/>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_Toc7295 </w:instrText>
          </w:r>
          <w:r>
            <w:rPr>
              <w:rFonts w:hint="eastAsia" w:ascii="宋体" w:hAnsi="宋体" w:eastAsia="宋体" w:cs="宋体"/>
              <w:b w:val="0"/>
              <w:bCs w:val="0"/>
            </w:rPr>
            <w:fldChar w:fldCharType="separate"/>
          </w:r>
          <w:r>
            <w:rPr>
              <w:rFonts w:hint="eastAsia" w:ascii="宋体" w:hAnsi="宋体" w:eastAsia="宋体" w:cs="宋体"/>
              <w:b w:val="0"/>
              <w:bCs w:val="0"/>
            </w:rPr>
            <w:t>参 考 文 献</w:t>
          </w:r>
          <w:r>
            <w:rPr>
              <w:rFonts w:hint="eastAsia" w:ascii="宋体" w:hAnsi="宋体" w:eastAsia="宋体" w:cs="宋体"/>
              <w:b w:val="0"/>
              <w:bCs w:val="0"/>
            </w:rPr>
            <w:tab/>
          </w:r>
          <w:r>
            <w:rPr>
              <w:rFonts w:hint="eastAsia" w:ascii="宋体" w:hAnsi="宋体" w:eastAsia="宋体" w:cs="宋体"/>
              <w:b w:val="0"/>
              <w:bCs w:val="0"/>
            </w:rPr>
            <w:fldChar w:fldCharType="end"/>
          </w:r>
          <w:r>
            <w:rPr>
              <w:rFonts w:hint="eastAsia" w:ascii="宋体" w:hAnsi="宋体" w:eastAsia="宋体" w:cs="宋体"/>
              <w:b w:val="0"/>
              <w:bCs w:val="0"/>
              <w:lang w:val="en-US" w:eastAsia="zh-CN"/>
            </w:rPr>
            <w:t>10</w:t>
          </w:r>
        </w:p>
        <w:p>
          <w:pPr>
            <w:spacing w:line="240" w:lineRule="auto"/>
            <w:rPr>
              <w:rFonts w:hint="eastAsia" w:ascii="宋体" w:hAnsi="宋体" w:eastAsia="宋体" w:cs="宋体"/>
              <w:b w:val="0"/>
              <w:bCs w:val="0"/>
            </w:rPr>
            <w:sectPr>
              <w:headerReference r:id="rId4" w:type="default"/>
              <w:footerReference r:id="rId5" w:type="default"/>
              <w:pgSz w:w="11906" w:h="16838"/>
              <w:pgMar w:top="567" w:right="1134" w:bottom="1134" w:left="1418" w:header="1417" w:footer="1134" w:gutter="0"/>
              <w:pgNumType w:fmt="decimal" w:start="1"/>
              <w:cols w:space="720" w:num="1"/>
              <w:formProt w:val="0"/>
              <w:docGrid w:type="lines" w:linePitch="312" w:charSpace="0"/>
            </w:sectPr>
          </w:pPr>
          <w:r>
            <w:rPr>
              <w:rFonts w:hint="eastAsia" w:ascii="宋体" w:hAnsi="宋体" w:eastAsia="宋体" w:cs="宋体"/>
              <w:b w:val="0"/>
              <w:bCs w:val="0"/>
            </w:rPr>
            <w:fldChar w:fldCharType="end"/>
          </w:r>
        </w:p>
      </w:sdtContent>
    </w:sdt>
    <w:p>
      <w:pPr>
        <w:pStyle w:val="23"/>
        <w:tabs>
          <w:tab w:val="right" w:leader="dot" w:pos="9354"/>
          <w:tab w:val="clear" w:pos="9241"/>
        </w:tabs>
        <w:spacing w:beforeLines="0" w:after="560" w:afterLines="0" w:line="460" w:lineRule="exact"/>
        <w:jc w:val="both"/>
        <w:rPr>
          <w:rFonts w:ascii="黑体" w:hAnsi="黑体" w:eastAsia="黑体" w:cs="黑体"/>
          <w:sz w:val="32"/>
          <w:szCs w:val="40"/>
        </w:rPr>
      </w:pPr>
    </w:p>
    <w:p>
      <w:pPr>
        <w:pStyle w:val="23"/>
        <w:tabs>
          <w:tab w:val="right" w:leader="dot" w:pos="9354"/>
          <w:tab w:val="clear" w:pos="9241"/>
        </w:tabs>
        <w:spacing w:beforeLines="0" w:after="560" w:afterLines="0" w:line="460" w:lineRule="exact"/>
        <w:jc w:val="center"/>
        <w:outlineLvl w:val="0"/>
        <w:rPr>
          <w:rFonts w:ascii="黑体" w:hAnsi="黑体" w:eastAsia="黑体" w:cs="黑体"/>
          <w:sz w:val="32"/>
          <w:szCs w:val="32"/>
        </w:rPr>
      </w:pPr>
      <w:bookmarkStart w:id="4" w:name="_Toc11091"/>
      <w:r>
        <w:rPr>
          <w:rFonts w:hint="eastAsia" w:ascii="黑体" w:hAnsi="黑体" w:eastAsia="黑体" w:cs="黑体"/>
          <w:sz w:val="32"/>
          <w:szCs w:val="32"/>
        </w:rPr>
        <w:t>前</w:t>
      </w:r>
      <w:r>
        <w:rPr>
          <w:rFonts w:hint="eastAsia" w:ascii="黑体" w:hAnsi="黑体" w:eastAsia="黑体" w:cs="黑体"/>
          <w:color w:val="000000" w:themeColor="text1"/>
          <w:sz w:val="32"/>
          <w:szCs w:val="32"/>
          <w14:textFill>
            <w14:solidFill>
              <w14:schemeClr w14:val="tx1"/>
            </w14:solidFill>
          </w14:textFill>
        </w:rPr>
        <w:t>  </w:t>
      </w:r>
      <w:r>
        <w:rPr>
          <w:rFonts w:hint="eastAsia" w:ascii="黑体" w:hAnsi="黑体" w:eastAsia="黑体" w:cs="黑体"/>
          <w:sz w:val="32"/>
          <w:szCs w:val="32"/>
        </w:rPr>
        <w:t>言</w:t>
      </w:r>
      <w:bookmarkEnd w:id="4"/>
    </w:p>
    <w:p>
      <w:pPr>
        <w:pStyle w:val="27"/>
        <w:spacing w:line="360" w:lineRule="auto"/>
        <w:rPr>
          <w:rFonts w:hint="eastAsia"/>
        </w:rPr>
      </w:pPr>
      <w:r>
        <w:rPr>
          <w:rFonts w:hint="eastAsia"/>
        </w:rPr>
        <w:t>本文件依据G</w:t>
      </w:r>
      <w:r>
        <w:t>B/T 1.1</w:t>
      </w:r>
      <w:r>
        <w:rPr>
          <w:rFonts w:hint="eastAsia"/>
        </w:rPr>
        <w:t>-</w:t>
      </w:r>
      <w:r>
        <w:t>2020</w:t>
      </w:r>
      <w:r>
        <w:rPr>
          <w:rFonts w:hint="eastAsia"/>
        </w:rPr>
        <w:t>《标准化工作导则 第1部分：标准化文件的结构和起草规则》的规定起草。</w:t>
      </w:r>
    </w:p>
    <w:p>
      <w:pPr>
        <w:pStyle w:val="27"/>
        <w:spacing w:line="360" w:lineRule="auto"/>
      </w:pPr>
      <w:r>
        <w:rPr>
          <w:rFonts w:hint="eastAsia"/>
        </w:rPr>
        <w:t>本文件由中国物业管理协会标准化工作委员会提出并归口。</w:t>
      </w:r>
    </w:p>
    <w:p>
      <w:pPr>
        <w:pStyle w:val="27"/>
        <w:spacing w:line="360" w:lineRule="auto"/>
        <w:rPr>
          <w:rFonts w:hint="default"/>
          <w:lang w:val="en-US" w:eastAsia="zh-CN"/>
        </w:rPr>
      </w:pPr>
      <w:r>
        <w:rPr>
          <w:rFonts w:hint="eastAsia"/>
        </w:rPr>
        <w:t>本文件主要起草单位：</w:t>
      </w:r>
      <w:r>
        <w:rPr>
          <w:rFonts w:hint="eastAsia"/>
          <w:lang w:val="en-US" w:eastAsia="zh-CN"/>
        </w:rPr>
        <w:t>XXX、XXX、XXX、XXX。</w:t>
      </w:r>
    </w:p>
    <w:p>
      <w:pPr>
        <w:pStyle w:val="27"/>
        <w:spacing w:line="360" w:lineRule="auto"/>
        <w:rPr>
          <w:rFonts w:hint="default" w:eastAsia="宋体"/>
          <w:lang w:val="en-US" w:eastAsia="zh-CN"/>
        </w:rPr>
      </w:pPr>
      <w:r>
        <w:rPr>
          <w:rFonts w:hint="eastAsia"/>
        </w:rPr>
        <w:t>本文件主要起草人：</w:t>
      </w:r>
      <w:r>
        <w:rPr>
          <w:rFonts w:hint="eastAsia"/>
          <w:lang w:val="en-US" w:eastAsia="zh-CN"/>
        </w:rPr>
        <w:t>XXX、XXX、XXX、XXX。</w:t>
      </w:r>
    </w:p>
    <w:p>
      <w:pPr>
        <w:pStyle w:val="27"/>
        <w:spacing w:line="360" w:lineRule="auto"/>
        <w:jc w:val="left"/>
        <w:rPr>
          <w:rFonts w:hint="eastAsia" w:eastAsia="宋体"/>
          <w:lang w:eastAsia="zh-CN"/>
        </w:rPr>
      </w:pPr>
      <w:r>
        <w:rPr>
          <w:rFonts w:hint="eastAsia"/>
        </w:rPr>
        <w:t>本文件为首次发布</w:t>
      </w:r>
      <w:r>
        <w:rPr>
          <w:rFonts w:hint="eastAsia"/>
          <w:lang w:eastAsia="zh-CN"/>
        </w:rPr>
        <w:t>。</w:t>
      </w: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pStyle w:val="27"/>
        <w:spacing w:line="360" w:lineRule="auto"/>
        <w:jc w:val="left"/>
        <w:rPr>
          <w:rFonts w:hint="eastAsia"/>
        </w:rPr>
      </w:pPr>
    </w:p>
    <w:p>
      <w:pPr>
        <w:spacing w:before="640" w:after="560" w:line="460" w:lineRule="exact"/>
        <w:ind w:firstLine="0" w:firstLineChars="0"/>
        <w:jc w:val="both"/>
        <w:outlineLvl w:val="9"/>
        <w:rPr>
          <w:rFonts w:hint="eastAsia" w:ascii="黑体" w:hAnsi="黑体" w:eastAsia="黑体" w:cs="黑体"/>
          <w:color w:val="auto"/>
          <w:sz w:val="32"/>
          <w:szCs w:val="32"/>
          <w:lang w:val="en-US" w:eastAsia="zh-CN"/>
        </w:rPr>
        <w:sectPr>
          <w:footerReference r:id="rId6" w:type="default"/>
          <w:pgSz w:w="11906" w:h="16838"/>
          <w:pgMar w:top="567" w:right="1134" w:bottom="1134" w:left="1418" w:header="1417" w:footer="1134" w:gutter="0"/>
          <w:pgNumType w:fmt="decimal" w:start="1"/>
          <w:cols w:space="720" w:num="1"/>
          <w:formProt w:val="0"/>
          <w:docGrid w:type="lines" w:linePitch="312" w:charSpace="0"/>
        </w:sectPr>
      </w:pPr>
    </w:p>
    <w:p>
      <w:pPr>
        <w:spacing w:before="640" w:after="560" w:line="460" w:lineRule="exact"/>
        <w:ind w:firstLine="3520" w:firstLineChars="1100"/>
        <w:jc w:val="both"/>
        <w:outlineLvl w:val="9"/>
        <w:rPr>
          <w:rFonts w:hint="eastAsia" w:ascii="黑体" w:hAnsi="黑体" w:eastAsia="黑体" w:cs="黑体"/>
          <w:color w:val="auto"/>
          <w:sz w:val="32"/>
          <w:szCs w:val="32"/>
          <w:lang w:val="en-US" w:eastAsia="zh-CN"/>
        </w:rPr>
      </w:pPr>
    </w:p>
    <w:p>
      <w:pPr>
        <w:spacing w:before="640" w:after="560" w:line="460" w:lineRule="exact"/>
        <w:ind w:firstLine="3520" w:firstLineChars="1100"/>
        <w:jc w:val="both"/>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引    言</w:t>
      </w:r>
    </w:p>
    <w:p>
      <w:pPr>
        <w:spacing w:line="360" w:lineRule="auto"/>
        <w:ind w:firstLine="420" w:firstLineChars="200"/>
        <w:rPr>
          <w:rFonts w:hint="eastAsia"/>
        </w:rPr>
        <w:sectPr>
          <w:footerReference r:id="rId7" w:type="default"/>
          <w:pgSz w:w="11906" w:h="16838"/>
          <w:pgMar w:top="567" w:right="1134" w:bottom="1134" w:left="1418" w:header="1417" w:footer="1134" w:gutter="0"/>
          <w:pgNumType w:fmt="upperRoman" w:start="1"/>
          <w:cols w:space="720" w:num="1"/>
          <w:formProt w:val="0"/>
          <w:docGrid w:type="lines" w:linePitch="312" w:charSpace="0"/>
        </w:sectPr>
      </w:pPr>
      <w:r>
        <w:rPr>
          <w:rFonts w:hint="eastAsia"/>
          <w:color w:val="auto"/>
          <w:highlight w:val="none"/>
          <w:u w:val="none"/>
          <w:lang w:val="en-US" w:eastAsia="zh-CN"/>
        </w:rPr>
        <w:t>党的十九大以来，</w:t>
      </w:r>
      <w:r>
        <w:rPr>
          <w:rFonts w:hint="eastAsia"/>
          <w:lang w:val="en-US" w:eastAsia="zh-CN"/>
        </w:rPr>
        <w:t>在国家政策的支持和引领下，物业服务企业以业主需求为导向，利用物业服务企业的优势，在做好物业基础服务的同时，积极探索向养老、家政、房屋经纪、资产管理、社区零售等增值服务领域延伸，拓展物业服务的新空间。使社区生活服务成为提升居民生活品质，拉动居民消费的新的增长点。本指南旨在提供一套科学、合理、可操作的指导原则和方法，确保社区生活服务的良好运营和可持续发展。</w:t>
      </w:r>
    </w:p>
    <w:p>
      <w:pPr>
        <w:keepNext w:val="0"/>
        <w:keepLines w:val="0"/>
        <w:widowControl/>
        <w:suppressLineNumbers w:val="0"/>
        <w:jc w:val="left"/>
        <w:rPr>
          <w:rFonts w:hint="default" w:ascii="宋体" w:hAnsi="宋体" w:eastAsia="宋体" w:cs="宋体"/>
          <w:i w:val="0"/>
          <w:iCs w:val="0"/>
          <w:caps w:val="0"/>
          <w:color w:val="FF0000"/>
          <w:spacing w:val="0"/>
          <w:kern w:val="0"/>
          <w:sz w:val="21"/>
          <w:szCs w:val="21"/>
          <w:u w:val="none"/>
          <w:lang w:val="en-US" w:eastAsia="zh-CN" w:bidi="ar"/>
        </w:rPr>
      </w:pPr>
    </w:p>
    <w:p>
      <w:pPr>
        <w:spacing w:before="640" w:after="560" w:line="240" w:lineRule="auto"/>
        <w:ind w:firstLine="2880" w:firstLineChars="900"/>
        <w:jc w:val="both"/>
        <w:outlineLvl w:val="0"/>
        <w:rPr>
          <w:rFonts w:hint="default" w:ascii="宋体" w:hAnsi="宋体" w:eastAsia="宋体" w:cs="宋体"/>
          <w:i w:val="0"/>
          <w:iCs w:val="0"/>
          <w:caps w:val="0"/>
          <w:color w:val="FF0000"/>
          <w:spacing w:val="0"/>
          <w:kern w:val="0"/>
          <w:sz w:val="21"/>
          <w:szCs w:val="21"/>
          <w:u w:val="none"/>
          <w:lang w:val="en-US" w:eastAsia="zh-CN" w:bidi="ar"/>
        </w:rPr>
      </w:pPr>
      <w:bookmarkStart w:id="5" w:name="_Toc17202"/>
      <w:r>
        <w:rPr>
          <w:rFonts w:hint="eastAsia" w:ascii="黑体" w:hAnsi="黑体" w:eastAsia="黑体" w:cs="黑体"/>
          <w:sz w:val="32"/>
          <w:szCs w:val="32"/>
        </w:rPr>
        <w:t>社区生活服务</w:t>
      </w:r>
      <w:r>
        <w:rPr>
          <w:rFonts w:hint="eastAsia" w:ascii="黑体" w:hAnsi="黑体" w:eastAsia="黑体" w:cs="黑体"/>
          <w:color w:val="000000" w:themeColor="text1"/>
          <w:sz w:val="32"/>
          <w:szCs w:val="32"/>
          <w:lang w:val="en-US" w:eastAsia="zh-CN"/>
          <w14:textFill>
            <w14:solidFill>
              <w14:schemeClr w14:val="tx1"/>
            </w14:solidFill>
          </w14:textFill>
        </w:rPr>
        <w:t>管理</w:t>
      </w:r>
      <w:r>
        <w:rPr>
          <w:rFonts w:hint="eastAsia" w:ascii="黑体" w:hAnsi="黑体" w:eastAsia="黑体" w:cs="黑体"/>
          <w:sz w:val="32"/>
          <w:szCs w:val="32"/>
        </w:rPr>
        <w:t>指南</w:t>
      </w:r>
      <w:bookmarkEnd w:id="5"/>
    </w:p>
    <w:p>
      <w:pPr>
        <w:pStyle w:val="86"/>
        <w:numPr>
          <w:ilvl w:val="0"/>
          <w:numId w:val="2"/>
        </w:numPr>
        <w:spacing w:before="312" w:after="312" w:line="240" w:lineRule="auto"/>
        <w:outlineLvl w:val="0"/>
        <w:rPr>
          <w:rFonts w:ascii="宋体" w:hAnsi="宋体" w:cs="宋体"/>
          <w:szCs w:val="21"/>
        </w:rPr>
      </w:pPr>
      <w:bookmarkStart w:id="6" w:name="_Toc13922"/>
      <w:bookmarkStart w:id="7" w:name="_Toc82019451"/>
      <w:r>
        <w:rPr>
          <w:rFonts w:hint="eastAsia" w:hAnsi="黑体" w:cs="黑体"/>
          <w:szCs w:val="21"/>
        </w:rPr>
        <w:t xml:space="preserve"> </w:t>
      </w:r>
      <w:r>
        <w:rPr>
          <w:rFonts w:hAnsi="黑体" w:cs="黑体"/>
          <w:szCs w:val="21"/>
        </w:rPr>
        <w:t xml:space="preserve"> </w:t>
      </w:r>
      <w:bookmarkStart w:id="8" w:name="_Toc31059"/>
      <w:r>
        <w:rPr>
          <w:rFonts w:hint="eastAsia" w:hAnsi="黑体" w:cs="黑体"/>
          <w:szCs w:val="21"/>
        </w:rPr>
        <w:t>范围</w:t>
      </w:r>
      <w:bookmarkEnd w:id="6"/>
      <w:bookmarkEnd w:id="7"/>
      <w:bookmarkEnd w:id="8"/>
    </w:p>
    <w:p>
      <w:pPr>
        <w:widowControl/>
        <w:spacing w:line="240" w:lineRule="auto"/>
        <w:ind w:firstLine="420" w:firstLineChars="200"/>
        <w:jc w:val="left"/>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本文件提</w:t>
      </w:r>
      <w:r>
        <w:rPr>
          <w:rFonts w:hint="eastAsia" w:ascii="宋体" w:hAnsi="宋体" w:cs="宋体"/>
          <w:color w:val="000000"/>
          <w:kern w:val="0"/>
          <w:szCs w:val="21"/>
          <w:highlight w:val="none"/>
          <w:lang w:bidi="ar"/>
        </w:rPr>
        <w:t>供了社区生活服务的</w:t>
      </w:r>
      <w:r>
        <w:rPr>
          <w:rFonts w:hint="eastAsia" w:ascii="宋体" w:hAnsi="宋体" w:cs="宋体"/>
          <w:color w:val="000000"/>
          <w:kern w:val="0"/>
          <w:szCs w:val="21"/>
          <w:highlight w:val="none"/>
          <w:lang w:val="en-US" w:eastAsia="zh-CN" w:bidi="ar"/>
        </w:rPr>
        <w:t>服务总则、服务能力保障</w:t>
      </w:r>
      <w:r>
        <w:rPr>
          <w:rFonts w:hint="eastAsia" w:ascii="宋体" w:hAnsi="宋体" w:cs="宋体"/>
          <w:color w:val="000000" w:themeColor="text1"/>
          <w:kern w:val="0"/>
          <w:szCs w:val="21"/>
          <w:lang w:bidi="ar"/>
          <w14:textFill>
            <w14:solidFill>
              <w14:schemeClr w14:val="tx1"/>
            </w14:solidFill>
          </w14:textFill>
        </w:rPr>
        <w:t>、</w:t>
      </w:r>
      <w:r>
        <w:rPr>
          <w:rFonts w:hint="eastAsia" w:ascii="宋体" w:hAnsi="宋体" w:cs="宋体"/>
          <w:color w:val="000000"/>
          <w:kern w:val="0"/>
          <w:szCs w:val="21"/>
          <w:lang w:bidi="ar"/>
        </w:rPr>
        <w:t>服务策划、服务实施</w:t>
      </w:r>
      <w:r>
        <w:rPr>
          <w:rFonts w:hint="eastAsia" w:ascii="宋体" w:hAnsi="宋体" w:cs="宋体"/>
          <w:color w:val="000000"/>
          <w:kern w:val="0"/>
          <w:szCs w:val="21"/>
          <w:lang w:val="en-US" w:eastAsia="zh-CN" w:bidi="ar"/>
        </w:rPr>
        <w:t>以及</w:t>
      </w:r>
      <w:r>
        <w:rPr>
          <w:rFonts w:hint="eastAsia" w:ascii="宋体" w:hAnsi="宋体" w:cs="宋体"/>
          <w:color w:val="000000"/>
          <w:kern w:val="0"/>
          <w:szCs w:val="21"/>
          <w:lang w:bidi="ar"/>
        </w:rPr>
        <w:t>服务评价与改进的</w:t>
      </w:r>
      <w:r>
        <w:rPr>
          <w:rFonts w:hint="eastAsia" w:ascii="宋体" w:hAnsi="宋体" w:cs="宋体"/>
          <w:color w:val="000000" w:themeColor="text1"/>
          <w:kern w:val="0"/>
          <w:szCs w:val="21"/>
          <w:lang w:bidi="ar"/>
          <w14:textFill>
            <w14:solidFill>
              <w14:schemeClr w14:val="tx1"/>
            </w14:solidFill>
          </w14:textFill>
        </w:rPr>
        <w:t>指南。</w:t>
      </w:r>
    </w:p>
    <w:p>
      <w:pPr>
        <w:widowControl/>
        <w:spacing w:line="240" w:lineRule="auto"/>
        <w:ind w:firstLine="420" w:firstLineChars="200"/>
        <w:jc w:val="left"/>
        <w:rPr>
          <w:rFonts w:hint="default" w:ascii="宋体" w:hAnsi="宋体" w:eastAsia="宋体" w:cs="宋体"/>
          <w:strike w:val="0"/>
          <w:dstrike w:val="0"/>
          <w:color w:val="000000" w:themeColor="text1"/>
          <w:kern w:val="0"/>
          <w:szCs w:val="21"/>
          <w:u w:val="none"/>
          <w:lang w:val="en-US" w:eastAsia="zh-CN" w:bidi="ar"/>
          <w14:textFill>
            <w14:solidFill>
              <w14:schemeClr w14:val="tx1"/>
            </w14:solidFill>
          </w14:textFill>
        </w:rPr>
      </w:pPr>
      <w:r>
        <w:rPr>
          <w:rFonts w:hint="eastAsia" w:ascii="宋体" w:hAnsi="宋体" w:cs="宋体"/>
          <w:color w:val="000000"/>
          <w:kern w:val="0"/>
          <w:szCs w:val="21"/>
          <w:lang w:bidi="ar"/>
        </w:rPr>
        <w:t>本文件适用于</w:t>
      </w:r>
      <w:r>
        <w:rPr>
          <w:rFonts w:hint="eastAsia" w:ascii="宋体" w:hAnsi="宋体" w:cs="宋体"/>
          <w:color w:val="000000" w:themeColor="text1"/>
          <w:kern w:val="0"/>
          <w:szCs w:val="21"/>
          <w:u w:val="none"/>
          <w:lang w:bidi="ar"/>
          <w14:textFill>
            <w14:solidFill>
              <w14:schemeClr w14:val="tx1"/>
            </w14:solidFill>
          </w14:textFill>
        </w:rPr>
        <w:t>物业服务</w:t>
      </w:r>
      <w:r>
        <w:rPr>
          <w:rFonts w:hint="eastAsia" w:ascii="宋体" w:hAnsi="宋体" w:cs="宋体"/>
          <w:color w:val="000000" w:themeColor="text1"/>
          <w:kern w:val="0"/>
          <w:szCs w:val="21"/>
          <w:u w:val="none"/>
          <w:lang w:val="en-US" w:eastAsia="zh-CN" w:bidi="ar"/>
          <w14:textFill>
            <w14:solidFill>
              <w14:schemeClr w14:val="tx1"/>
            </w14:solidFill>
          </w14:textFill>
        </w:rPr>
        <w:t>企业提供的</w:t>
      </w:r>
      <w:r>
        <w:rPr>
          <w:rFonts w:hint="eastAsia" w:ascii="宋体" w:hAnsi="宋体" w:cs="宋体"/>
          <w:strike w:val="0"/>
          <w:dstrike w:val="0"/>
          <w:color w:val="000000" w:themeColor="text1"/>
          <w:kern w:val="0"/>
          <w:szCs w:val="21"/>
          <w:u w:val="none"/>
          <w:lang w:val="en-US" w:eastAsia="zh-CN" w:bidi="ar"/>
          <w14:textFill>
            <w14:solidFill>
              <w14:schemeClr w14:val="tx1"/>
            </w14:solidFill>
          </w14:textFill>
        </w:rPr>
        <w:t>基于物业服务区域开展的社区生活服务。</w:t>
      </w:r>
    </w:p>
    <w:p>
      <w:pPr>
        <w:pStyle w:val="86"/>
        <w:numPr>
          <w:ilvl w:val="0"/>
          <w:numId w:val="2"/>
        </w:numPr>
        <w:spacing w:before="312" w:after="312" w:line="240" w:lineRule="auto"/>
        <w:outlineLvl w:val="0"/>
        <w:rPr>
          <w:rFonts w:hint="default" w:asciiTheme="minorHAnsi" w:hAnsiTheme="minorHAnsi" w:eastAsiaTheme="minorEastAsia" w:cstheme="minorBidi"/>
          <w:b w:val="0"/>
          <w:bCs w:val="0"/>
          <w:color w:val="000000" w:themeColor="text1"/>
          <w:kern w:val="2"/>
          <w:sz w:val="21"/>
          <w:szCs w:val="21"/>
          <w:lang w:val="en-US" w:eastAsia="zh-CN" w:bidi="ar-SA"/>
          <w14:textFill>
            <w14:solidFill>
              <w14:schemeClr w14:val="tx1"/>
            </w14:solidFill>
          </w14:textFill>
        </w:rPr>
      </w:pPr>
      <w:bookmarkStart w:id="9" w:name="_Toc5255"/>
      <w:bookmarkStart w:id="10" w:name="_Toc82019453"/>
      <w:r>
        <w:rPr>
          <w:rFonts w:hint="eastAsia" w:hAnsi="黑体" w:cs="黑体"/>
          <w:color w:val="000000" w:themeColor="text1"/>
          <w:szCs w:val="22"/>
          <w14:textFill>
            <w14:solidFill>
              <w14:schemeClr w14:val="tx1"/>
            </w14:solidFill>
          </w14:textFill>
        </w:rPr>
        <w:t xml:space="preserve"> </w:t>
      </w:r>
      <w:r>
        <w:rPr>
          <w:rFonts w:hAnsi="黑体" w:cs="黑体"/>
          <w:color w:val="000000" w:themeColor="text1"/>
          <w:szCs w:val="22"/>
          <w14:textFill>
            <w14:solidFill>
              <w14:schemeClr w14:val="tx1"/>
            </w14:solidFill>
          </w14:textFill>
        </w:rPr>
        <w:t xml:space="preserve"> </w:t>
      </w:r>
      <w:bookmarkStart w:id="11" w:name="_Toc31331"/>
      <w:r>
        <w:rPr>
          <w:rFonts w:hint="eastAsia" w:hAnsi="黑体" w:cs="黑体"/>
          <w:color w:val="000000" w:themeColor="text1"/>
          <w:szCs w:val="22"/>
          <w14:textFill>
            <w14:solidFill>
              <w14:schemeClr w14:val="tx1"/>
            </w14:solidFill>
          </w14:textFill>
        </w:rPr>
        <w:t>规范性引用文件</w:t>
      </w:r>
      <w:bookmarkEnd w:id="11"/>
    </w:p>
    <w:p>
      <w:pPr>
        <w:spacing w:line="240" w:lineRule="auto"/>
        <w:ind w:firstLine="420" w:firstLineChars="200"/>
        <w:rPr>
          <w:rFonts w:hint="eastAsia"/>
          <w:lang w:val="en-US" w:eastAsia="zh-CN"/>
        </w:rPr>
      </w:pPr>
      <w:r>
        <w:rPr>
          <w:rFonts w:hint="eastAsia"/>
          <w:lang w:val="en-US" w:eastAsia="zh-CN"/>
        </w:rPr>
        <w:t>下列文件中的内容通过文中的规范性引用而构成本文件必不可少的条款。其中，注日期的引用文件， 仅该日期对应的版本适用于本文件；不注日期的引用文件，其最新版本（包括所有的修改单）适用于本文件。</w:t>
      </w:r>
    </w:p>
    <w:p>
      <w:pPr>
        <w:spacing w:line="240" w:lineRule="auto"/>
        <w:ind w:firstLine="420" w:firstLineChars="200"/>
        <w:rPr>
          <w:rFonts w:hint="eastAsia"/>
          <w:lang w:val="en-US" w:eastAsia="zh-CN"/>
        </w:rPr>
      </w:pPr>
      <w:r>
        <w:rPr>
          <w:rFonts w:hint="eastAsia"/>
          <w:lang w:val="en-US" w:eastAsia="zh-CN"/>
        </w:rPr>
        <w:t>GB/T 36735-2018  社区便民服务中心服务规范。</w:t>
      </w:r>
    </w:p>
    <w:p>
      <w:pPr>
        <w:pStyle w:val="86"/>
        <w:numPr>
          <w:ilvl w:val="0"/>
          <w:numId w:val="2"/>
        </w:numPr>
        <w:spacing w:before="312" w:after="312" w:line="240" w:lineRule="auto"/>
        <w:outlineLvl w:val="0"/>
        <w:rPr>
          <w:rFonts w:hAnsi="黑体" w:cs="黑体"/>
          <w:color w:val="000000"/>
          <w:szCs w:val="22"/>
        </w:rPr>
      </w:pPr>
      <w:r>
        <w:rPr>
          <w:rFonts w:hint="eastAsia" w:hAnsi="黑体" w:cs="黑体"/>
          <w:color w:val="000000"/>
          <w:szCs w:val="22"/>
        </w:rPr>
        <w:t xml:space="preserve">  </w:t>
      </w:r>
      <w:bookmarkStart w:id="12" w:name="_Toc30412"/>
      <w:r>
        <w:rPr>
          <w:rFonts w:hint="eastAsia" w:hAnsi="黑体" w:cs="黑体"/>
          <w:color w:val="000000"/>
          <w:szCs w:val="22"/>
        </w:rPr>
        <w:t>术语和定义</w:t>
      </w:r>
      <w:bookmarkEnd w:id="9"/>
      <w:bookmarkEnd w:id="10"/>
      <w:bookmarkEnd w:id="12"/>
    </w:p>
    <w:p>
      <w:pPr>
        <w:pStyle w:val="27"/>
      </w:pPr>
      <w:r>
        <w:rPr>
          <w:rFonts w:hint="eastAsia" w:ascii="宋体" w:hAnsi="宋体"/>
          <w:color w:val="000000"/>
          <w:szCs w:val="21"/>
        </w:rPr>
        <w:t>GB/36735</w:t>
      </w:r>
      <w:r>
        <w:rPr>
          <w:rFonts w:hint="eastAsia" w:ascii="宋体" w:hAnsi="宋体"/>
          <w:color w:val="000000"/>
          <w:szCs w:val="21"/>
          <w:lang w:eastAsia="zh-CN"/>
        </w:rPr>
        <w:t>界定的以及</w:t>
      </w:r>
      <w:r>
        <w:rPr>
          <w:rFonts w:hint="eastAsia" w:ascii="宋体" w:hAnsi="宋体"/>
          <w:color w:val="000000"/>
          <w:szCs w:val="21"/>
        </w:rPr>
        <w:t>下列术语和定义适用本文件。</w:t>
      </w:r>
    </w:p>
    <w:p>
      <w:pPr>
        <w:spacing w:line="240" w:lineRule="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3.1 社区 community</w:t>
      </w:r>
    </w:p>
    <w:p>
      <w:pPr>
        <w:spacing w:line="240" w:lineRule="auto"/>
        <w:ind w:firstLine="420" w:firstLineChars="200"/>
        <w:rPr>
          <w:rFonts w:hint="eastAsia"/>
          <w:b w:val="0"/>
          <w:bCs w:val="0"/>
          <w:lang w:val="en-US" w:eastAsia="zh-CN"/>
        </w:rPr>
      </w:pPr>
      <w:r>
        <w:rPr>
          <w:rFonts w:hint="eastAsia"/>
          <w:b w:val="0"/>
          <w:bCs w:val="0"/>
          <w:lang w:val="en-US" w:eastAsia="zh-CN"/>
        </w:rPr>
        <w:t>聚居在一定地域范围内的人们所组成的社会生活共同体。</w:t>
      </w:r>
    </w:p>
    <w:p>
      <w:pPr>
        <w:spacing w:line="240" w:lineRule="auto"/>
        <w:ind w:firstLine="420" w:firstLineChars="200"/>
        <w:rPr>
          <w:rFonts w:hint="default"/>
          <w:b w:val="0"/>
          <w:bCs w:val="0"/>
          <w:lang w:val="en-US" w:eastAsia="zh-CN"/>
        </w:rPr>
      </w:pPr>
      <w:r>
        <w:rPr>
          <w:rFonts w:hint="eastAsia"/>
          <w:b w:val="0"/>
          <w:bCs w:val="0"/>
          <w:lang w:val="en-US" w:eastAsia="zh-CN"/>
        </w:rPr>
        <w:t>[来源：GB/T 36735—2018，3.1]</w:t>
      </w:r>
    </w:p>
    <w:p>
      <w:pPr>
        <w:spacing w:line="240" w:lineRule="auto"/>
        <w:outlineLvl w:val="1"/>
        <w:rPr>
          <w:rFonts w:hint="eastAsia" w:ascii="黑体" w:hAnsi="黑体" w:eastAsia="黑体" w:cs="黑体"/>
          <w:b w:val="0"/>
          <w:bCs w:val="0"/>
          <w:lang w:val="en-US" w:eastAsia="zh-CN"/>
        </w:rPr>
      </w:pPr>
      <w:bookmarkStart w:id="13" w:name="_Toc1265"/>
      <w:r>
        <w:rPr>
          <w:rFonts w:hint="eastAsia" w:ascii="黑体" w:hAnsi="黑体" w:eastAsia="黑体" w:cs="黑体"/>
          <w:b w:val="0"/>
          <w:bCs w:val="0"/>
          <w:lang w:val="en-US" w:eastAsia="zh-CN"/>
        </w:rPr>
        <w:t>3.2</w:t>
      </w:r>
      <w:bookmarkEnd w:id="13"/>
      <w:r>
        <w:rPr>
          <w:rFonts w:hint="eastAsia" w:ascii="黑体" w:hAnsi="黑体" w:eastAsia="黑体" w:cs="黑体"/>
          <w:b w:val="0"/>
          <w:bCs w:val="0"/>
          <w:lang w:val="en-US" w:eastAsia="zh-CN"/>
        </w:rPr>
        <w:t xml:space="preserve">  社区生活服务 Community life service</w:t>
      </w:r>
    </w:p>
    <w:p>
      <w:pPr>
        <w:spacing w:line="240" w:lineRule="auto"/>
        <w:ind w:firstLine="420" w:firstLineChars="200"/>
        <w:rPr>
          <w:rFonts w:hint="eastAsia"/>
          <w:lang w:val="en-US" w:eastAsia="zh-CN"/>
        </w:rPr>
      </w:pPr>
      <w:r>
        <w:rPr>
          <w:rFonts w:hint="eastAsia"/>
          <w:lang w:val="en-US" w:eastAsia="zh-CN"/>
        </w:rPr>
        <w:t>通过公益性、福利性或经营性方</w:t>
      </w:r>
      <w:r>
        <w:rPr>
          <w:rFonts w:hint="eastAsia"/>
          <w:highlight w:val="none"/>
          <w:lang w:val="en-US" w:eastAsia="zh-CN"/>
        </w:rPr>
        <w:t>式开展的社区</w:t>
      </w:r>
      <w:r>
        <w:rPr>
          <w:rFonts w:hint="eastAsia"/>
          <w:lang w:val="en-US" w:eastAsia="zh-CN"/>
        </w:rPr>
        <w:t>近邻服务、“五助”服务（助幼、助教、助医、助老、助困）、社区物业、家政、维修、餐饮、零售、美容美发、垃圾分类、房屋租赁等的生活服务。</w:t>
      </w:r>
      <w:bookmarkStart w:id="14" w:name="_Toc6805"/>
      <w:bookmarkStart w:id="15" w:name="_Toc82019469"/>
    </w:p>
    <w:p>
      <w:pPr>
        <w:spacing w:line="240" w:lineRule="auto"/>
        <w:rPr>
          <w:rFonts w:hint="eastAsia" w:ascii="黑体" w:hAnsi="黑体" w:eastAsia="黑体" w:cs="黑体"/>
          <w:lang w:val="en-US" w:eastAsia="zh-CN"/>
        </w:rPr>
      </w:pPr>
      <w:r>
        <w:rPr>
          <w:rFonts w:hint="eastAsia" w:ascii="黑体" w:hAnsi="黑体" w:eastAsia="黑体" w:cs="黑体"/>
          <w:lang w:val="en-US" w:eastAsia="zh-CN"/>
        </w:rPr>
        <w:t>3.3复合用工自营Compound employment self-support</w:t>
      </w:r>
    </w:p>
    <w:p>
      <w:pPr>
        <w:spacing w:line="240" w:lineRule="auto"/>
        <w:ind w:firstLine="420" w:firstLineChars="200"/>
        <w:rPr>
          <w:rFonts w:hint="eastAsia"/>
          <w:lang w:val="en-US" w:eastAsia="zh-CN"/>
        </w:rPr>
      </w:pPr>
      <w:r>
        <w:rPr>
          <w:rFonts w:hint="eastAsia"/>
          <w:lang w:val="en-US" w:eastAsia="zh-CN"/>
        </w:rPr>
        <w:t>物业服务企业负责公区服务的员工，利用正常工作时间以外的时间开展的</w:t>
      </w:r>
      <w:r>
        <w:rPr>
          <w:rFonts w:hint="eastAsia"/>
          <w:highlight w:val="none"/>
          <w:lang w:val="en-US" w:eastAsia="zh-CN"/>
        </w:rPr>
        <w:t>社区生活服务。</w:t>
      </w:r>
    </w:p>
    <w:p>
      <w:pPr>
        <w:spacing w:line="240" w:lineRule="auto"/>
        <w:rPr>
          <w:rFonts w:hint="eastAsia" w:ascii="黑体" w:hAnsi="黑体" w:eastAsia="黑体" w:cs="黑体"/>
          <w:lang w:val="en-US" w:eastAsia="zh-CN"/>
        </w:rPr>
      </w:pPr>
      <w:r>
        <w:rPr>
          <w:rFonts w:hint="eastAsia" w:ascii="黑体" w:hAnsi="黑体" w:eastAsia="黑体" w:cs="黑体"/>
          <w:lang w:val="en-US" w:eastAsia="zh-CN"/>
        </w:rPr>
        <w:t>3.4专职用工自营Full-time self-employed</w:t>
      </w:r>
    </w:p>
    <w:p>
      <w:pPr>
        <w:spacing w:line="240" w:lineRule="auto"/>
        <w:ind w:firstLine="420" w:firstLineChars="200"/>
        <w:rPr>
          <w:rFonts w:hAnsi="黑体" w:cs="黑体"/>
          <w:color w:val="000000"/>
          <w:szCs w:val="21"/>
        </w:rPr>
      </w:pPr>
      <w:r>
        <w:rPr>
          <w:rFonts w:hint="eastAsia"/>
          <w:lang w:val="en-US" w:eastAsia="zh-CN"/>
        </w:rPr>
        <w:t>物业服务企业雇佣专职员工开展的物业基础服务以外的</w:t>
      </w:r>
      <w:r>
        <w:rPr>
          <w:rFonts w:hint="eastAsia"/>
          <w:highlight w:val="none"/>
          <w:lang w:val="en-US" w:eastAsia="zh-CN"/>
        </w:rPr>
        <w:t>社区生活服务。</w:t>
      </w:r>
    </w:p>
    <w:bookmarkEnd w:id="14"/>
    <w:bookmarkEnd w:id="15"/>
    <w:p>
      <w:pPr>
        <w:pStyle w:val="86"/>
        <w:numPr>
          <w:ilvl w:val="0"/>
          <w:numId w:val="0"/>
        </w:numPr>
        <w:spacing w:before="312" w:after="312" w:line="240" w:lineRule="auto"/>
        <w:ind w:leftChars="0"/>
        <w:outlineLvl w:val="0"/>
        <w:rPr>
          <w:rFonts w:hint="eastAsia" w:ascii="黑体" w:hAnsi="黑体" w:eastAsia="黑体" w:cs="黑体"/>
          <w:color w:val="000000"/>
          <w:szCs w:val="21"/>
        </w:rPr>
      </w:pPr>
      <w:bookmarkStart w:id="16" w:name="_Toc2514"/>
      <w:r>
        <w:rPr>
          <w:rFonts w:hint="eastAsia" w:ascii="黑体" w:hAnsi="黑体" w:eastAsia="黑体" w:cs="黑体"/>
          <w:color w:val="000000"/>
          <w:szCs w:val="21"/>
          <w:lang w:val="en-US" w:eastAsia="zh-CN"/>
        </w:rPr>
        <w:t>4服务总则</w:t>
      </w:r>
      <w:bookmarkEnd w:id="16"/>
    </w:p>
    <w:p>
      <w:pPr>
        <w:spacing w:line="240" w:lineRule="auto"/>
        <w:ind w:right="560"/>
        <w:outlineLvl w:val="1"/>
        <w:rPr>
          <w:rFonts w:hint="eastAsia" w:ascii="黑体" w:hAnsi="黑体" w:eastAsia="黑体" w:cs="黑体"/>
          <w:b w:val="0"/>
          <w:bCs w:val="0"/>
          <w:color w:val="000000"/>
          <w:szCs w:val="21"/>
          <w:lang w:val="en-US" w:eastAsia="zh-CN"/>
        </w:rPr>
      </w:pPr>
      <w:bookmarkStart w:id="17" w:name="_Toc236"/>
      <w:bookmarkStart w:id="18" w:name="_Toc25237"/>
      <w:r>
        <w:rPr>
          <w:rFonts w:hint="eastAsia" w:ascii="黑体" w:hAnsi="黑体" w:eastAsia="黑体" w:cs="黑体"/>
          <w:b w:val="0"/>
          <w:bCs w:val="0"/>
          <w:color w:val="000000"/>
          <w:szCs w:val="21"/>
        </w:rPr>
        <w:t>4.1.</w:t>
      </w:r>
      <w:r>
        <w:rPr>
          <w:rFonts w:hint="eastAsia" w:ascii="黑体" w:hAnsi="黑体" w:eastAsia="黑体" w:cs="黑体"/>
          <w:b w:val="0"/>
          <w:bCs w:val="0"/>
          <w:color w:val="000000"/>
          <w:szCs w:val="21"/>
          <w:lang w:val="en-US" w:eastAsia="zh-CN"/>
        </w:rPr>
        <w:t>利民便民</w:t>
      </w:r>
      <w:bookmarkEnd w:id="17"/>
    </w:p>
    <w:p>
      <w:pPr>
        <w:spacing w:line="240" w:lineRule="auto"/>
        <w:ind w:right="560" w:firstLine="420" w:firstLineChars="200"/>
        <w:rPr>
          <w:rFonts w:hint="default" w:ascii="宋体" w:hAnsi="宋体"/>
          <w:color w:val="000000"/>
          <w:szCs w:val="21"/>
          <w:lang w:val="en-US" w:eastAsia="zh-CN"/>
        </w:rPr>
      </w:pPr>
      <w:r>
        <w:rPr>
          <w:rFonts w:hint="eastAsia" w:ascii="宋体" w:hAnsi="宋体"/>
          <w:color w:val="000000"/>
          <w:szCs w:val="21"/>
          <w:lang w:val="en-US" w:eastAsia="zh-CN"/>
        </w:rPr>
        <w:t>坚持党建引领，以业主需求为导向，提升服务品质和满意度为主，为民便民的基本原则。</w:t>
      </w:r>
    </w:p>
    <w:p>
      <w:pPr>
        <w:spacing w:line="240" w:lineRule="auto"/>
        <w:ind w:right="560"/>
        <w:outlineLvl w:val="1"/>
        <w:rPr>
          <w:rFonts w:hint="eastAsia" w:ascii="黑体" w:hAnsi="黑体" w:eastAsia="黑体" w:cs="黑体"/>
          <w:b w:val="0"/>
          <w:bCs w:val="0"/>
          <w:color w:val="000000"/>
          <w:szCs w:val="21"/>
          <w:lang w:val="en-US" w:eastAsia="zh-CN"/>
        </w:rPr>
      </w:pPr>
      <w:bookmarkStart w:id="19" w:name="_Toc3929"/>
      <w:r>
        <w:rPr>
          <w:rFonts w:hint="eastAsia" w:ascii="黑体" w:hAnsi="黑体" w:eastAsia="黑体" w:cs="黑体"/>
          <w:b w:val="0"/>
          <w:bCs w:val="0"/>
          <w:color w:val="000000"/>
          <w:szCs w:val="21"/>
        </w:rPr>
        <w:t>4.</w:t>
      </w:r>
      <w:r>
        <w:rPr>
          <w:rFonts w:hint="eastAsia" w:ascii="黑体" w:hAnsi="黑体" w:eastAsia="黑体" w:cs="黑体"/>
          <w:b w:val="0"/>
          <w:bCs w:val="0"/>
          <w:color w:val="000000"/>
          <w:szCs w:val="21"/>
          <w:lang w:val="en-US" w:eastAsia="zh-CN"/>
        </w:rPr>
        <w:t>2 共建共享</w:t>
      </w:r>
      <w:bookmarkEnd w:id="19"/>
    </w:p>
    <w:p>
      <w:pPr>
        <w:spacing w:line="240" w:lineRule="auto"/>
        <w:ind w:right="560"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根据社区特点，发挥物业服务企业自身优势，与</w:t>
      </w:r>
      <w:r>
        <w:rPr>
          <w:rFonts w:hint="eastAsia" w:ascii="宋体" w:hAnsi="宋体"/>
          <w:color w:val="000000"/>
          <w:szCs w:val="21"/>
          <w:highlight w:val="none"/>
          <w:lang w:val="en-US" w:eastAsia="zh-CN"/>
        </w:rPr>
        <w:t>周边</w:t>
      </w:r>
      <w:r>
        <w:rPr>
          <w:rFonts w:hint="eastAsia" w:ascii="宋体" w:hAnsi="宋体"/>
          <w:color w:val="000000"/>
          <w:szCs w:val="21"/>
          <w:lang w:val="en-US" w:eastAsia="zh-CN"/>
        </w:rPr>
        <w:t>商</w:t>
      </w:r>
      <w:r>
        <w:rPr>
          <w:rFonts w:hint="eastAsia" w:ascii="宋体" w:hAnsi="宋体"/>
          <w:color w:val="auto"/>
          <w:szCs w:val="21"/>
          <w:lang w:val="en-US" w:eastAsia="zh-CN"/>
        </w:rPr>
        <w:t>业</w:t>
      </w:r>
      <w:r>
        <w:rPr>
          <w:rFonts w:hint="eastAsia" w:ascii="宋体" w:hAnsi="宋体"/>
          <w:color w:val="000000"/>
          <w:szCs w:val="21"/>
          <w:lang w:val="en-US" w:eastAsia="zh-CN"/>
        </w:rPr>
        <w:t>资源融合，通过构建共建共享平台，提升服务品质与效能。</w:t>
      </w:r>
    </w:p>
    <w:p>
      <w:pPr>
        <w:spacing w:line="240" w:lineRule="auto"/>
        <w:ind w:right="560"/>
        <w:rPr>
          <w:rFonts w:hint="eastAsia" w:ascii="黑体" w:hAnsi="黑体" w:eastAsia="黑体" w:cs="黑体"/>
          <w:color w:val="000000"/>
          <w:szCs w:val="21"/>
          <w:lang w:val="en-US" w:eastAsia="zh-CN"/>
        </w:rPr>
      </w:pPr>
      <w:r>
        <w:rPr>
          <w:rFonts w:hint="eastAsia" w:ascii="黑体" w:hAnsi="黑体" w:eastAsia="黑体" w:cs="黑体"/>
          <w:color w:val="000000"/>
          <w:szCs w:val="21"/>
          <w:lang w:val="en-US" w:eastAsia="zh-CN"/>
        </w:rPr>
        <w:t>4.3规范有序</w:t>
      </w:r>
    </w:p>
    <w:p>
      <w:pPr>
        <w:spacing w:line="240" w:lineRule="auto"/>
        <w:ind w:right="560"/>
        <w:rPr>
          <w:rFonts w:hint="eastAsia" w:ascii="宋体" w:hAnsi="宋体"/>
          <w:color w:val="000000"/>
          <w:szCs w:val="21"/>
          <w:lang w:val="en-US" w:eastAsia="zh-CN"/>
        </w:rPr>
      </w:pPr>
      <w:r>
        <w:rPr>
          <w:rFonts w:hint="eastAsia" w:ascii="宋体" w:hAnsi="宋体"/>
          <w:color w:val="000000"/>
          <w:szCs w:val="21"/>
          <w:lang w:val="en-US" w:eastAsia="zh-CN"/>
        </w:rPr>
        <w:t xml:space="preserve">   社区服务机构应增强社会责任感，遵守职业道德，履行服务承诺，提供规范有序的服务。</w:t>
      </w:r>
    </w:p>
    <w:p>
      <w:pPr>
        <w:spacing w:line="600" w:lineRule="auto"/>
        <w:ind w:right="560"/>
        <w:rPr>
          <w:rFonts w:hint="eastAsia" w:ascii="黑体" w:hAnsi="黑体" w:eastAsia="黑体" w:cs="黑体"/>
          <w:color w:val="000000"/>
          <w:szCs w:val="21"/>
          <w:lang w:val="en-US" w:eastAsia="zh-CN"/>
        </w:rPr>
      </w:pPr>
      <w:r>
        <w:rPr>
          <w:rFonts w:hint="eastAsia" w:ascii="黑体" w:hAnsi="黑体" w:eastAsia="黑体" w:cs="黑体"/>
          <w:color w:val="000000"/>
          <w:szCs w:val="21"/>
          <w:lang w:val="en-US" w:eastAsia="zh-CN"/>
        </w:rPr>
        <w:t>5 服务能力保障</w:t>
      </w:r>
    </w:p>
    <w:p>
      <w:pPr>
        <w:spacing w:line="360" w:lineRule="auto"/>
        <w:ind w:right="560"/>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5.1</w:t>
      </w:r>
      <w:r>
        <w:rPr>
          <w:rFonts w:hint="eastAsia" w:ascii="黑体" w:hAnsi="黑体" w:eastAsia="黑体" w:cs="黑体"/>
          <w:b w:val="0"/>
          <w:bCs w:val="0"/>
          <w:lang w:val="en-US" w:eastAsia="zh-CN"/>
        </w:rPr>
        <w:t>服务机构</w:t>
      </w:r>
    </w:p>
    <w:p>
      <w:pPr>
        <w:spacing w:line="240" w:lineRule="auto"/>
        <w:rPr>
          <w:rFonts w:hint="eastAsia"/>
          <w:lang w:val="en-US" w:eastAsia="zh-CN"/>
        </w:rPr>
      </w:pPr>
      <w:r>
        <w:rPr>
          <w:rFonts w:hint="eastAsia"/>
          <w:lang w:val="en-US" w:eastAsia="zh-CN"/>
        </w:rPr>
        <w:t>5.1.1 在相关部门登记注册或备案，具备与提供服务相适应的资质与能力。</w:t>
      </w:r>
    </w:p>
    <w:p>
      <w:pPr>
        <w:spacing w:line="240" w:lineRule="auto"/>
        <w:rPr>
          <w:rFonts w:hint="eastAsia"/>
          <w:lang w:val="en-US" w:eastAsia="zh-CN"/>
        </w:rPr>
      </w:pPr>
      <w:r>
        <w:rPr>
          <w:rFonts w:hint="eastAsia"/>
          <w:lang w:val="en-US" w:eastAsia="zh-CN"/>
        </w:rPr>
        <w:t>5.1.2 建立相应的管理制度并有效实施，管理制度包括但不限于：</w:t>
      </w:r>
    </w:p>
    <w:p>
      <w:pPr>
        <w:spacing w:line="240" w:lineRule="auto"/>
        <w:ind w:firstLine="420" w:firstLineChars="200"/>
        <w:rPr>
          <w:rFonts w:hint="eastAsia"/>
          <w:highlight w:val="none"/>
          <w:lang w:val="en-US" w:eastAsia="zh-CN"/>
        </w:rPr>
      </w:pPr>
      <w:r>
        <w:rPr>
          <w:rFonts w:hint="eastAsia"/>
          <w:highlight w:val="none"/>
          <w:lang w:val="en-US" w:eastAsia="zh-CN"/>
        </w:rPr>
        <w:t>a）人员管理制度；</w:t>
      </w:r>
    </w:p>
    <w:p>
      <w:pPr>
        <w:spacing w:line="240" w:lineRule="auto"/>
        <w:ind w:firstLine="420" w:firstLineChars="200"/>
        <w:rPr>
          <w:rFonts w:hint="eastAsia"/>
          <w:highlight w:val="none"/>
          <w:lang w:val="en-US" w:eastAsia="zh-CN"/>
        </w:rPr>
      </w:pPr>
      <w:r>
        <w:rPr>
          <w:rFonts w:hint="eastAsia"/>
          <w:highlight w:val="none"/>
          <w:lang w:val="en-US" w:eastAsia="zh-CN"/>
        </w:rPr>
        <w:t>b）安全管理制度；</w:t>
      </w:r>
    </w:p>
    <w:p>
      <w:pPr>
        <w:spacing w:line="240" w:lineRule="auto"/>
        <w:ind w:firstLine="420" w:firstLineChars="200"/>
        <w:rPr>
          <w:rFonts w:hint="eastAsia"/>
          <w:highlight w:val="none"/>
          <w:lang w:val="en-US" w:eastAsia="zh-CN"/>
        </w:rPr>
      </w:pPr>
      <w:r>
        <w:rPr>
          <w:rFonts w:hint="eastAsia"/>
          <w:highlight w:val="none"/>
          <w:lang w:val="en-US" w:eastAsia="zh-CN"/>
        </w:rPr>
        <w:t>c）合同管理制度；</w:t>
      </w:r>
    </w:p>
    <w:p>
      <w:pPr>
        <w:spacing w:line="240" w:lineRule="auto"/>
        <w:ind w:firstLine="420" w:firstLineChars="200"/>
        <w:rPr>
          <w:rFonts w:hint="eastAsia"/>
          <w:highlight w:val="none"/>
          <w:lang w:val="en-US" w:eastAsia="zh-CN"/>
        </w:rPr>
      </w:pPr>
      <w:r>
        <w:rPr>
          <w:rFonts w:hint="eastAsia"/>
          <w:highlight w:val="none"/>
          <w:lang w:val="en-US" w:eastAsia="zh-CN"/>
        </w:rPr>
        <w:t>d）财务管理制度；</w:t>
      </w:r>
    </w:p>
    <w:p>
      <w:pPr>
        <w:spacing w:line="240" w:lineRule="auto"/>
        <w:ind w:firstLine="420" w:firstLineChars="200"/>
        <w:rPr>
          <w:rFonts w:hint="eastAsia"/>
          <w:highlight w:val="none"/>
          <w:lang w:val="en-US" w:eastAsia="zh-CN"/>
        </w:rPr>
      </w:pPr>
      <w:r>
        <w:rPr>
          <w:rFonts w:hint="eastAsia"/>
          <w:highlight w:val="none"/>
          <w:lang w:val="en-US" w:eastAsia="zh-CN"/>
        </w:rPr>
        <w:t>e）档案管理制度；</w:t>
      </w:r>
    </w:p>
    <w:p>
      <w:pPr>
        <w:spacing w:line="240" w:lineRule="auto"/>
        <w:ind w:firstLine="420" w:firstLineChars="200"/>
        <w:rPr>
          <w:rFonts w:hint="eastAsia"/>
          <w:highlight w:val="none"/>
          <w:lang w:val="en-US" w:eastAsia="zh-CN"/>
        </w:rPr>
      </w:pPr>
      <w:r>
        <w:rPr>
          <w:rFonts w:hint="eastAsia"/>
          <w:highlight w:val="none"/>
          <w:lang w:val="en-US" w:eastAsia="zh-CN"/>
        </w:rPr>
        <w:t>f）智慧信息化管理制度。</w:t>
      </w:r>
    </w:p>
    <w:p>
      <w:pPr>
        <w:spacing w:line="240" w:lineRule="auto"/>
        <w:rPr>
          <w:rFonts w:hint="eastAsia"/>
          <w:b/>
          <w:bCs/>
          <w:lang w:val="en-US" w:eastAsia="zh-CN"/>
        </w:rPr>
      </w:pPr>
      <w:r>
        <w:rPr>
          <w:rFonts w:hint="eastAsia"/>
          <w:lang w:val="en-US" w:eastAsia="zh-CN"/>
        </w:rPr>
        <w:t>5</w:t>
      </w:r>
      <w:r>
        <w:rPr>
          <w:rFonts w:hint="default"/>
          <w:lang w:val="en-US" w:eastAsia="zh-CN"/>
        </w:rPr>
        <w:t>.1.3 宜公开服务内容、服务方式、收费标准、支付方式</w:t>
      </w:r>
      <w:r>
        <w:rPr>
          <w:rFonts w:hint="eastAsia"/>
          <w:lang w:val="en-US" w:eastAsia="zh-CN"/>
        </w:rPr>
        <w:t>及</w:t>
      </w:r>
      <w:r>
        <w:rPr>
          <w:rFonts w:hint="default"/>
          <w:lang w:val="en-US" w:eastAsia="zh-CN"/>
        </w:rPr>
        <w:t>服务监督方式</w:t>
      </w:r>
      <w:r>
        <w:rPr>
          <w:rFonts w:hint="eastAsia"/>
          <w:lang w:val="en-US" w:eastAsia="zh-CN"/>
        </w:rPr>
        <w:t>和</w:t>
      </w:r>
      <w:r>
        <w:rPr>
          <w:rFonts w:hint="default"/>
          <w:lang w:val="en-US" w:eastAsia="zh-CN"/>
        </w:rPr>
        <w:t>服务热线，公开信息应真实、完整、有效。</w:t>
      </w:r>
    </w:p>
    <w:p>
      <w:pPr>
        <w:spacing w:line="240" w:lineRule="auto"/>
        <w:outlineLvl w:val="1"/>
        <w:rPr>
          <w:rFonts w:hint="eastAsia" w:ascii="黑体" w:hAnsi="黑体" w:eastAsia="黑体" w:cs="黑体"/>
          <w:b w:val="0"/>
          <w:bCs w:val="0"/>
          <w:lang w:val="en-US" w:eastAsia="zh-CN"/>
        </w:rPr>
      </w:pPr>
      <w:bookmarkStart w:id="20" w:name="_Toc18688"/>
      <w:r>
        <w:rPr>
          <w:rFonts w:hint="eastAsia" w:ascii="黑体" w:hAnsi="黑体" w:eastAsia="黑体" w:cs="黑体"/>
          <w:b w:val="0"/>
          <w:bCs w:val="0"/>
          <w:lang w:val="en-US" w:eastAsia="zh-CN"/>
        </w:rPr>
        <w:t>5.2 服务人员</w:t>
      </w:r>
      <w:bookmarkEnd w:id="20"/>
    </w:p>
    <w:p>
      <w:pPr>
        <w:spacing w:line="240" w:lineRule="auto"/>
        <w:rPr>
          <w:rFonts w:hint="default"/>
          <w:lang w:val="en-US" w:eastAsia="zh-CN"/>
        </w:rPr>
      </w:pPr>
      <w:r>
        <w:rPr>
          <w:rFonts w:hint="eastAsia"/>
          <w:lang w:val="en-US" w:eastAsia="zh-CN"/>
        </w:rPr>
        <w:t>5</w:t>
      </w:r>
      <w:r>
        <w:rPr>
          <w:rFonts w:hint="default"/>
          <w:lang w:val="en-US" w:eastAsia="zh-CN"/>
        </w:rPr>
        <w:t>.2.1 取得相关资质或达到相应职业标准要求，身体健康，</w:t>
      </w:r>
      <w:r>
        <w:rPr>
          <w:rFonts w:hint="eastAsia"/>
          <w:lang w:val="en-US" w:eastAsia="zh-CN"/>
        </w:rPr>
        <w:t>具有</w:t>
      </w:r>
      <w:r>
        <w:rPr>
          <w:rFonts w:hint="default"/>
          <w:lang w:val="en-US" w:eastAsia="zh-CN"/>
        </w:rPr>
        <w:t>良好的精神风貌</w:t>
      </w:r>
      <w:r>
        <w:rPr>
          <w:rFonts w:hint="eastAsia"/>
          <w:lang w:val="en-US" w:eastAsia="zh-CN"/>
        </w:rPr>
        <w:t>，</w:t>
      </w:r>
      <w:r>
        <w:rPr>
          <w:rFonts w:hint="default"/>
          <w:lang w:val="en-US" w:eastAsia="zh-CN"/>
        </w:rPr>
        <w:t>熟悉有关法律法规，掌握基本的安全保护知识与应急处置方法。</w:t>
      </w:r>
    </w:p>
    <w:p>
      <w:pPr>
        <w:spacing w:line="240" w:lineRule="auto"/>
        <w:rPr>
          <w:rFonts w:hint="default"/>
          <w:lang w:val="en-US" w:eastAsia="zh-CN"/>
        </w:rPr>
      </w:pPr>
      <w:r>
        <w:rPr>
          <w:rFonts w:hint="eastAsia"/>
          <w:lang w:val="en-US" w:eastAsia="zh-CN"/>
        </w:rPr>
        <w:t>5</w:t>
      </w:r>
      <w:r>
        <w:rPr>
          <w:rFonts w:hint="default"/>
          <w:lang w:val="en-US" w:eastAsia="zh-CN"/>
        </w:rPr>
        <w:t>.2.</w:t>
      </w:r>
      <w:r>
        <w:rPr>
          <w:rFonts w:hint="eastAsia"/>
          <w:lang w:val="en-US" w:eastAsia="zh-CN"/>
        </w:rPr>
        <w:t>2</w:t>
      </w:r>
      <w:r>
        <w:rPr>
          <w:rFonts w:hint="default"/>
          <w:lang w:val="en-US" w:eastAsia="zh-CN"/>
        </w:rPr>
        <w:t xml:space="preserve"> 开展岗前培训，并定期开展岗中培训，培训内容包括但不限于：</w:t>
      </w:r>
    </w:p>
    <w:p>
      <w:pPr>
        <w:spacing w:line="240" w:lineRule="auto"/>
        <w:ind w:firstLine="420" w:firstLineChars="200"/>
        <w:rPr>
          <w:rFonts w:hint="default"/>
          <w:highlight w:val="none"/>
          <w:lang w:val="en-US" w:eastAsia="zh-CN"/>
        </w:rPr>
      </w:pPr>
      <w:r>
        <w:rPr>
          <w:rFonts w:hint="eastAsia"/>
          <w:highlight w:val="none"/>
          <w:lang w:val="en-US" w:eastAsia="zh-CN"/>
        </w:rPr>
        <w:t>a）</w:t>
      </w:r>
      <w:r>
        <w:rPr>
          <w:rFonts w:hint="default"/>
          <w:highlight w:val="none"/>
          <w:lang w:val="en-US" w:eastAsia="zh-CN"/>
        </w:rPr>
        <w:t>法律法规与基础知识；</w:t>
      </w:r>
    </w:p>
    <w:p>
      <w:pPr>
        <w:spacing w:line="240" w:lineRule="auto"/>
        <w:ind w:firstLine="420" w:firstLineChars="200"/>
        <w:rPr>
          <w:rFonts w:hint="default"/>
          <w:highlight w:val="none"/>
          <w:lang w:val="en-US" w:eastAsia="zh-CN"/>
        </w:rPr>
      </w:pPr>
      <w:r>
        <w:rPr>
          <w:rFonts w:hint="eastAsia"/>
          <w:highlight w:val="none"/>
          <w:lang w:val="en-US" w:eastAsia="zh-CN"/>
        </w:rPr>
        <w:t>b）</w:t>
      </w:r>
      <w:r>
        <w:rPr>
          <w:rFonts w:hint="default"/>
          <w:highlight w:val="none"/>
          <w:lang w:val="en-US" w:eastAsia="zh-CN"/>
        </w:rPr>
        <w:t>沟通的技巧与方法；</w:t>
      </w:r>
    </w:p>
    <w:p>
      <w:pPr>
        <w:spacing w:line="240" w:lineRule="auto"/>
        <w:ind w:firstLine="420" w:firstLineChars="200"/>
        <w:rPr>
          <w:rFonts w:hint="default"/>
          <w:highlight w:val="none"/>
          <w:lang w:val="en-US" w:eastAsia="zh-CN"/>
        </w:rPr>
      </w:pPr>
      <w:r>
        <w:rPr>
          <w:rFonts w:hint="eastAsia"/>
          <w:highlight w:val="none"/>
          <w:lang w:val="en-US" w:eastAsia="zh-CN"/>
        </w:rPr>
        <w:t>c）</w:t>
      </w:r>
      <w:r>
        <w:rPr>
          <w:rFonts w:hint="default"/>
          <w:highlight w:val="none"/>
          <w:lang w:val="en-US" w:eastAsia="zh-CN"/>
        </w:rPr>
        <w:t>相关服务理论与操作规范；</w:t>
      </w:r>
    </w:p>
    <w:p>
      <w:pPr>
        <w:spacing w:line="240" w:lineRule="auto"/>
        <w:ind w:firstLine="420" w:firstLineChars="200"/>
        <w:rPr>
          <w:rFonts w:hint="eastAsia"/>
          <w:b/>
          <w:bCs/>
          <w:highlight w:val="none"/>
          <w:lang w:val="en-US" w:eastAsia="zh-CN"/>
        </w:rPr>
      </w:pPr>
      <w:r>
        <w:rPr>
          <w:rFonts w:hint="eastAsia"/>
          <w:highlight w:val="none"/>
          <w:lang w:val="en-US" w:eastAsia="zh-CN"/>
        </w:rPr>
        <w:t>d）</w:t>
      </w:r>
      <w:r>
        <w:rPr>
          <w:rFonts w:hint="default"/>
          <w:highlight w:val="none"/>
          <w:lang w:val="en-US" w:eastAsia="zh-CN"/>
        </w:rPr>
        <w:t>安全保护及应急处置方法。</w:t>
      </w:r>
    </w:p>
    <w:p>
      <w:pPr>
        <w:spacing w:line="240" w:lineRule="auto"/>
        <w:outlineLvl w:val="1"/>
        <w:rPr>
          <w:rFonts w:hint="eastAsia" w:ascii="黑体" w:hAnsi="黑体" w:eastAsia="黑体" w:cs="黑体"/>
          <w:b w:val="0"/>
          <w:bCs w:val="0"/>
          <w:lang w:val="en-US" w:eastAsia="zh-CN"/>
        </w:rPr>
      </w:pPr>
      <w:bookmarkStart w:id="21" w:name="_Toc18324"/>
      <w:r>
        <w:rPr>
          <w:rFonts w:hint="eastAsia" w:ascii="黑体" w:hAnsi="黑体" w:eastAsia="黑体" w:cs="黑体"/>
          <w:b w:val="0"/>
          <w:bCs w:val="0"/>
          <w:lang w:val="en-US" w:eastAsia="zh-CN"/>
        </w:rPr>
        <w:t>5.3 资料管理</w:t>
      </w:r>
      <w:bookmarkEnd w:id="21"/>
    </w:p>
    <w:p>
      <w:pPr>
        <w:spacing w:line="240" w:lineRule="auto"/>
        <w:rPr>
          <w:rFonts w:hint="default"/>
          <w:lang w:val="en-US" w:eastAsia="zh-CN"/>
        </w:rPr>
      </w:pPr>
      <w:r>
        <w:rPr>
          <w:rFonts w:hint="eastAsia"/>
          <w:lang w:val="en-US" w:eastAsia="zh-CN"/>
        </w:rPr>
        <w:t>5.3</w:t>
      </w:r>
      <w:r>
        <w:rPr>
          <w:rFonts w:hint="default"/>
          <w:lang w:val="en-US" w:eastAsia="zh-CN"/>
        </w:rPr>
        <w:t>.1 建立社区生活服务档案，遵守档案管理制度，做好档案收集整理、保管、统计及使用工作。</w:t>
      </w:r>
    </w:p>
    <w:p>
      <w:pPr>
        <w:spacing w:line="240" w:lineRule="auto"/>
        <w:rPr>
          <w:rFonts w:hint="default"/>
          <w:lang w:val="en-US" w:eastAsia="zh-CN"/>
        </w:rPr>
      </w:pPr>
      <w:r>
        <w:rPr>
          <w:rFonts w:hint="eastAsia"/>
          <w:lang w:val="en-US" w:eastAsia="zh-CN"/>
        </w:rPr>
        <w:t>5.3</w:t>
      </w:r>
      <w:r>
        <w:rPr>
          <w:rFonts w:hint="default"/>
          <w:lang w:val="en-US" w:eastAsia="zh-CN"/>
        </w:rPr>
        <w:t>.2 档案宜实行集中统一管理，做到整理规范、编目清晰、排列有序，便于使用。</w:t>
      </w:r>
    </w:p>
    <w:p>
      <w:pPr>
        <w:spacing w:line="240" w:lineRule="auto"/>
        <w:rPr>
          <w:rFonts w:hint="eastAsia"/>
          <w:lang w:val="en-US" w:eastAsia="zh-CN"/>
        </w:rPr>
      </w:pPr>
      <w:r>
        <w:rPr>
          <w:rFonts w:hint="eastAsia"/>
          <w:lang w:val="en-US" w:eastAsia="zh-CN"/>
        </w:rPr>
        <w:t>5.3</w:t>
      </w:r>
      <w:r>
        <w:rPr>
          <w:rFonts w:hint="default"/>
          <w:lang w:val="en-US" w:eastAsia="zh-CN"/>
        </w:rPr>
        <w:t>.3 宜定期检查档案保管状况，定期检查相关设施设备</w:t>
      </w:r>
      <w:r>
        <w:rPr>
          <w:rFonts w:hint="eastAsia"/>
          <w:lang w:val="en-US" w:eastAsia="zh-CN"/>
        </w:rPr>
        <w:t>。</w:t>
      </w:r>
    </w:p>
    <w:p>
      <w:pPr>
        <w:spacing w:line="240" w:lineRule="auto"/>
        <w:rPr>
          <w:rFonts w:hint="eastAsia"/>
          <w:b/>
          <w:bCs/>
          <w:lang w:val="en-US" w:eastAsia="zh-CN"/>
        </w:rPr>
      </w:pPr>
      <w:r>
        <w:rPr>
          <w:rFonts w:hint="eastAsia"/>
          <w:color w:val="auto"/>
          <w:lang w:val="en-US" w:eastAsia="zh-CN"/>
        </w:rPr>
        <w:t xml:space="preserve">5.3.4 </w:t>
      </w:r>
      <w:r>
        <w:rPr>
          <w:rFonts w:hint="default"/>
          <w:lang w:val="en-US" w:eastAsia="zh-CN"/>
        </w:rPr>
        <w:t>建立保管检查台帐，对破损或变质的档案及时修补，每年年终盘点核实档案资料。</w:t>
      </w:r>
    </w:p>
    <w:p>
      <w:pPr>
        <w:spacing w:line="240" w:lineRule="auto"/>
        <w:outlineLvl w:val="1"/>
        <w:rPr>
          <w:rFonts w:hint="eastAsia" w:ascii="黑体" w:hAnsi="黑体" w:eastAsia="黑体" w:cs="黑体"/>
          <w:b w:val="0"/>
          <w:bCs w:val="0"/>
          <w:lang w:val="en-US" w:eastAsia="zh-CN"/>
        </w:rPr>
      </w:pPr>
      <w:bookmarkStart w:id="22" w:name="_Toc30385"/>
      <w:r>
        <w:rPr>
          <w:rFonts w:hint="eastAsia" w:ascii="黑体" w:hAnsi="黑体" w:eastAsia="黑体" w:cs="黑体"/>
          <w:b w:val="0"/>
          <w:bCs w:val="0"/>
          <w:lang w:val="en-US" w:eastAsia="zh-CN"/>
        </w:rPr>
        <w:t>5.4智慧化与绿色</w:t>
      </w:r>
      <w:bookmarkEnd w:id="22"/>
    </w:p>
    <w:p>
      <w:pPr>
        <w:spacing w:line="240" w:lineRule="auto"/>
        <w:rPr>
          <w:rFonts w:hint="default"/>
          <w:lang w:val="en-US" w:eastAsia="zh-CN"/>
        </w:rPr>
      </w:pPr>
      <w:r>
        <w:rPr>
          <w:rFonts w:hint="eastAsia"/>
          <w:lang w:val="en-US" w:eastAsia="zh-CN"/>
        </w:rPr>
        <w:t>5.4</w:t>
      </w:r>
      <w:r>
        <w:rPr>
          <w:rFonts w:hint="default"/>
          <w:lang w:val="en-US" w:eastAsia="zh-CN"/>
        </w:rPr>
        <w:t>.1 宜优先采用先进的智能化、数字化技术做服务支持，包括但不限于机电监控设备、电子广告牌、信息服务平台</w:t>
      </w:r>
      <w:r>
        <w:rPr>
          <w:rFonts w:hint="eastAsia"/>
          <w:lang w:val="en-US" w:eastAsia="zh-CN"/>
        </w:rPr>
        <w:t>及</w:t>
      </w:r>
      <w:r>
        <w:rPr>
          <w:rFonts w:hint="default"/>
          <w:lang w:val="en-US" w:eastAsia="zh-CN"/>
        </w:rPr>
        <w:t>电子商务系统。</w:t>
      </w:r>
    </w:p>
    <w:p>
      <w:pPr>
        <w:spacing w:line="240" w:lineRule="auto"/>
        <w:rPr>
          <w:rFonts w:hint="eastAsia"/>
          <w:b/>
          <w:bCs/>
          <w:lang w:val="en-US" w:eastAsia="zh-CN"/>
        </w:rPr>
      </w:pPr>
      <w:r>
        <w:rPr>
          <w:rFonts w:hint="eastAsia"/>
          <w:lang w:val="en-US" w:eastAsia="zh-CN"/>
        </w:rPr>
        <w:t>5.4</w:t>
      </w:r>
      <w:r>
        <w:rPr>
          <w:rFonts w:hint="default"/>
          <w:lang w:val="en-US" w:eastAsia="zh-CN"/>
        </w:rPr>
        <w:t>.2 宜利用各类媒体与形式开展节能降耗、污染防治、垃圾分类、反对浪费等教育宣传活动。</w:t>
      </w:r>
    </w:p>
    <w:p>
      <w:pPr>
        <w:spacing w:line="240" w:lineRule="auto"/>
        <w:outlineLvl w:val="1"/>
        <w:rPr>
          <w:rFonts w:hint="eastAsia" w:ascii="黑体" w:hAnsi="黑体" w:eastAsia="黑体" w:cs="黑体"/>
          <w:b w:val="0"/>
          <w:bCs w:val="0"/>
          <w:lang w:val="en-US" w:eastAsia="zh-CN"/>
        </w:rPr>
      </w:pPr>
      <w:bookmarkStart w:id="23" w:name="_Toc31358"/>
      <w:r>
        <w:rPr>
          <w:rFonts w:hint="eastAsia" w:ascii="黑体" w:hAnsi="黑体" w:eastAsia="黑体" w:cs="黑体"/>
          <w:b w:val="0"/>
          <w:bCs w:val="0"/>
          <w:lang w:val="en-US" w:eastAsia="zh-CN"/>
        </w:rPr>
        <w:t>5.5 安全与应急</w:t>
      </w:r>
      <w:bookmarkEnd w:id="23"/>
      <w:r>
        <w:rPr>
          <w:rFonts w:hint="eastAsia" w:ascii="黑体" w:hAnsi="黑体" w:eastAsia="黑体" w:cs="黑体"/>
          <w:b w:val="0"/>
          <w:bCs w:val="0"/>
          <w:lang w:val="en-US" w:eastAsia="zh-CN"/>
        </w:rPr>
        <w:t xml:space="preserve"> </w:t>
      </w:r>
    </w:p>
    <w:p>
      <w:pPr>
        <w:spacing w:line="240" w:lineRule="auto"/>
        <w:rPr>
          <w:rFonts w:hint="eastAsia"/>
          <w:lang w:val="en-US" w:eastAsia="zh-CN"/>
        </w:rPr>
      </w:pPr>
      <w:r>
        <w:rPr>
          <w:rFonts w:hint="eastAsia"/>
          <w:lang w:val="en-US" w:eastAsia="zh-CN"/>
        </w:rPr>
        <w:t>5.5.1建立安全管理制度，设置安全提示标识、制定安全作业要求，合理配发劳动防护用品，关注员工职业健康。</w:t>
      </w:r>
    </w:p>
    <w:p>
      <w:pPr>
        <w:spacing w:line="240" w:lineRule="auto"/>
        <w:rPr>
          <w:rFonts w:hint="eastAsia"/>
          <w:lang w:val="en-US" w:eastAsia="zh-CN"/>
        </w:rPr>
      </w:pPr>
      <w:r>
        <w:rPr>
          <w:rFonts w:hint="eastAsia"/>
          <w:lang w:val="en-US" w:eastAsia="zh-CN"/>
        </w:rPr>
        <w:t>5.5.2定期开展安全教育、培训和宣传并保存记录。</w:t>
      </w:r>
    </w:p>
    <w:p>
      <w:pPr>
        <w:spacing w:line="240" w:lineRule="auto"/>
        <w:rPr>
          <w:rFonts w:hint="eastAsia"/>
          <w:lang w:val="en-US" w:eastAsia="zh-CN"/>
        </w:rPr>
      </w:pPr>
      <w:r>
        <w:rPr>
          <w:rFonts w:hint="eastAsia"/>
          <w:lang w:val="en-US" w:eastAsia="zh-CN"/>
        </w:rPr>
        <w:t>5.5.3开展环境因素、危险源识别及评估，进行隐患排查及治理，对风险作业实施作业许可管理和重点管控。</w:t>
      </w:r>
    </w:p>
    <w:p>
      <w:pPr>
        <w:spacing w:line="240" w:lineRule="auto"/>
        <w:rPr>
          <w:rFonts w:hint="eastAsia"/>
          <w:lang w:val="en-US" w:eastAsia="zh-CN"/>
        </w:rPr>
      </w:pPr>
      <w:r>
        <w:rPr>
          <w:rFonts w:hint="eastAsia"/>
          <w:lang w:val="en-US" w:eastAsia="zh-CN"/>
        </w:rPr>
        <w:t>5.5.4建立识别潜在紧急情况及突发事件应急预案，明确应急工作管理的单位、人员及通讯方式，明确专、兼职应急队伍的组织和保障，配置适宜的应急物资和装备。</w:t>
      </w:r>
    </w:p>
    <w:p>
      <w:pPr>
        <w:spacing w:line="240" w:lineRule="auto"/>
        <w:rPr>
          <w:rFonts w:hint="eastAsia"/>
          <w:lang w:val="en-US" w:eastAsia="zh-CN"/>
        </w:rPr>
      </w:pPr>
      <w:r>
        <w:rPr>
          <w:rFonts w:hint="eastAsia"/>
          <w:lang w:val="en-US" w:eastAsia="zh-CN"/>
        </w:rPr>
        <w:t>5.5.5 开展应急培训和演练，广泛宣传应急法律法规和预防、避险等措施，增强应急意识。每年至少应开展一次综合应急演练，适时开展专项应急演练。</w:t>
      </w:r>
    </w:p>
    <w:p>
      <w:pPr>
        <w:spacing w:line="240" w:lineRule="auto"/>
        <w:ind w:right="0"/>
        <w:outlineLvl w:val="9"/>
        <w:rPr>
          <w:rFonts w:hint="eastAsia" w:ascii="黑体" w:hAnsi="黑体" w:eastAsia="黑体" w:cs="黑体"/>
          <w:color w:val="auto"/>
          <w:szCs w:val="21"/>
          <w:lang w:val="en-US" w:eastAsia="zh-CN"/>
        </w:rPr>
      </w:pPr>
      <w:r>
        <w:rPr>
          <w:rFonts w:hint="eastAsia"/>
          <w:lang w:val="en-US" w:eastAsia="zh-CN"/>
        </w:rPr>
        <w:t>5.5.6加强与社区以及主管部门的协作，强化安全管理的协调联动，建立信息报送机制。</w:t>
      </w:r>
      <w:bookmarkStart w:id="24" w:name="_Toc18070"/>
    </w:p>
    <w:p>
      <w:pPr>
        <w:spacing w:line="600" w:lineRule="auto"/>
        <w:ind w:right="560"/>
        <w:outlineLvl w:val="0"/>
        <w:rPr>
          <w:rFonts w:hint="eastAsia" w:ascii="黑体" w:hAnsi="黑体" w:eastAsia="黑体" w:cs="黑体"/>
          <w:color w:val="auto"/>
          <w:szCs w:val="21"/>
        </w:rPr>
      </w:pPr>
      <w:r>
        <w:rPr>
          <w:rFonts w:hint="eastAsia" w:ascii="黑体" w:hAnsi="黑体" w:eastAsia="黑体" w:cs="黑体"/>
          <w:color w:val="auto"/>
          <w:szCs w:val="21"/>
          <w:lang w:val="en-US" w:eastAsia="zh-CN"/>
        </w:rPr>
        <w:t>6</w:t>
      </w:r>
      <w:r>
        <w:rPr>
          <w:rFonts w:hint="eastAsia" w:ascii="黑体" w:hAnsi="黑体" w:eastAsia="黑体" w:cs="黑体"/>
          <w:color w:val="auto"/>
          <w:szCs w:val="21"/>
        </w:rPr>
        <w:t xml:space="preserve"> </w:t>
      </w:r>
      <w:r>
        <w:rPr>
          <w:rFonts w:hint="eastAsia" w:ascii="黑体" w:hAnsi="黑体" w:eastAsia="黑体" w:cs="黑体"/>
          <w:color w:val="auto"/>
          <w:szCs w:val="21"/>
          <w:lang w:val="en-US" w:eastAsia="zh-CN"/>
        </w:rPr>
        <w:t>服务</w:t>
      </w:r>
      <w:r>
        <w:rPr>
          <w:rFonts w:hint="eastAsia" w:ascii="黑体" w:hAnsi="黑体" w:eastAsia="黑体" w:cs="黑体"/>
          <w:color w:val="auto"/>
          <w:szCs w:val="21"/>
        </w:rPr>
        <w:t>策划</w:t>
      </w:r>
      <w:bookmarkEnd w:id="24"/>
      <w:r>
        <w:rPr>
          <w:rFonts w:hint="eastAsia" w:ascii="黑体" w:hAnsi="黑体" w:eastAsia="黑体" w:cs="黑体"/>
          <w:color w:val="auto"/>
          <w:szCs w:val="21"/>
        </w:rPr>
        <w:t xml:space="preserve"> </w:t>
      </w:r>
      <w:bookmarkStart w:id="25" w:name="_Toc27170"/>
    </w:p>
    <w:p>
      <w:pPr>
        <w:spacing w:line="240" w:lineRule="auto"/>
        <w:ind w:right="560"/>
        <w:outlineLvl w:val="0"/>
        <w:rPr>
          <w:rFonts w:hint="eastAsia" w:ascii="宋体" w:hAnsi="宋体" w:eastAsia="宋体" w:cs="宋体"/>
          <w:color w:val="auto"/>
          <w:szCs w:val="21"/>
        </w:rPr>
      </w:pPr>
      <w:r>
        <w:rPr>
          <w:rFonts w:hint="eastAsia" w:ascii="黑体" w:hAnsi="黑体" w:eastAsia="黑体" w:cs="黑体"/>
          <w:color w:val="auto"/>
          <w:szCs w:val="21"/>
        </w:rPr>
        <w:t xml:space="preserve">6.1 需求识别 </w:t>
      </w:r>
      <w:r>
        <w:rPr>
          <w:rFonts w:hint="eastAsia" w:ascii="宋体" w:hAnsi="宋体" w:eastAsia="宋体" w:cs="宋体"/>
          <w:color w:val="auto"/>
          <w:szCs w:val="21"/>
        </w:rPr>
        <w:t xml:space="preserve"> </w:t>
      </w:r>
    </w:p>
    <w:p>
      <w:pPr>
        <w:spacing w:line="240" w:lineRule="auto"/>
        <w:ind w:right="560"/>
        <w:outlineLvl w:val="0"/>
        <w:rPr>
          <w:rFonts w:hint="eastAsia" w:ascii="宋体" w:hAnsi="宋体" w:eastAsia="宋体" w:cs="宋体"/>
          <w:color w:val="auto"/>
          <w:szCs w:val="21"/>
        </w:rPr>
      </w:pPr>
      <w:r>
        <w:rPr>
          <w:rFonts w:hint="eastAsia" w:ascii="宋体" w:hAnsi="宋体" w:eastAsia="宋体" w:cs="宋体"/>
          <w:color w:val="auto"/>
          <w:szCs w:val="21"/>
        </w:rPr>
        <w:t>6.1.1 物业服务企业可以采用问卷调研、深度访谈、现场服务观察等方式，了解社区场景中业主的需求。</w:t>
      </w:r>
    </w:p>
    <w:p>
      <w:pPr>
        <w:spacing w:line="240" w:lineRule="auto"/>
        <w:ind w:right="560"/>
        <w:outlineLvl w:val="0"/>
        <w:rPr>
          <w:rFonts w:hint="eastAsia" w:ascii="宋体" w:hAnsi="宋体" w:eastAsia="宋体" w:cs="宋体"/>
          <w:color w:val="auto"/>
          <w:szCs w:val="21"/>
        </w:rPr>
      </w:pPr>
      <w:r>
        <w:rPr>
          <w:rFonts w:hint="eastAsia" w:ascii="宋体" w:hAnsi="宋体" w:eastAsia="宋体" w:cs="宋体"/>
          <w:color w:val="auto"/>
          <w:szCs w:val="21"/>
        </w:rPr>
        <w:t>6.1.2 物业服务企业在开展问卷调研和深度访谈时，宜采取多层次、低频次</w:t>
      </w:r>
      <w:r>
        <w:rPr>
          <w:rFonts w:hint="eastAsia" w:ascii="宋体" w:hAnsi="宋体" w:cs="宋体"/>
          <w:color w:val="auto"/>
          <w:szCs w:val="21"/>
          <w:lang w:val="en-US" w:eastAsia="zh-CN"/>
        </w:rPr>
        <w:t>的方式</w:t>
      </w:r>
      <w:r>
        <w:rPr>
          <w:rFonts w:hint="eastAsia" w:ascii="宋体" w:hAnsi="宋体" w:eastAsia="宋体" w:cs="宋体"/>
          <w:color w:val="auto"/>
          <w:szCs w:val="21"/>
        </w:rPr>
        <w:t>进行调研，问卷设置具有科学性、代表性，样本数</w:t>
      </w:r>
      <w:r>
        <w:rPr>
          <w:rFonts w:hint="eastAsia" w:ascii="宋体" w:hAnsi="宋体" w:cs="宋体"/>
          <w:color w:val="auto"/>
          <w:szCs w:val="21"/>
          <w:lang w:val="en-US" w:eastAsia="zh-CN"/>
        </w:rPr>
        <w:t>量</w:t>
      </w:r>
      <w:r>
        <w:rPr>
          <w:rFonts w:hint="eastAsia" w:ascii="宋体" w:hAnsi="宋体" w:eastAsia="宋体" w:cs="宋体"/>
          <w:color w:val="auto"/>
          <w:szCs w:val="21"/>
        </w:rPr>
        <w:t>不宜过低。</w:t>
      </w:r>
    </w:p>
    <w:p>
      <w:pPr>
        <w:spacing w:line="240" w:lineRule="auto"/>
        <w:ind w:right="560"/>
        <w:outlineLvl w:val="0"/>
        <w:rPr>
          <w:rFonts w:hint="eastAsia" w:ascii="宋体" w:hAnsi="宋体" w:eastAsia="宋体" w:cs="宋体"/>
          <w:color w:val="auto"/>
          <w:szCs w:val="21"/>
        </w:rPr>
      </w:pPr>
      <w:r>
        <w:rPr>
          <w:rFonts w:hint="eastAsia" w:ascii="宋体" w:hAnsi="宋体" w:eastAsia="宋体" w:cs="宋体"/>
          <w:color w:val="auto"/>
          <w:szCs w:val="21"/>
        </w:rPr>
        <w:t>6.1.3 开展深度访谈时宜结合半年度、年度的满意度调查，从</w:t>
      </w:r>
      <w:r>
        <w:rPr>
          <w:rFonts w:hint="eastAsia" w:ascii="宋体" w:hAnsi="宋体" w:cs="宋体"/>
          <w:color w:val="auto"/>
          <w:szCs w:val="21"/>
          <w:lang w:eastAsia="zh-CN"/>
        </w:rPr>
        <w:t>物业基础</w:t>
      </w:r>
      <w:r>
        <w:rPr>
          <w:rFonts w:hint="eastAsia" w:ascii="宋体" w:hAnsi="宋体" w:eastAsia="宋体" w:cs="宋体"/>
          <w:color w:val="auto"/>
          <w:szCs w:val="21"/>
        </w:rPr>
        <w:t>服务维度延伸至</w:t>
      </w:r>
      <w:r>
        <w:rPr>
          <w:rFonts w:hint="eastAsia" w:ascii="宋体" w:hAnsi="宋体" w:cs="宋体"/>
          <w:color w:val="auto"/>
          <w:szCs w:val="21"/>
          <w:lang w:eastAsia="zh-CN"/>
        </w:rPr>
        <w:t>业主</w:t>
      </w:r>
      <w:r>
        <w:rPr>
          <w:rFonts w:hint="eastAsia" w:ascii="宋体" w:hAnsi="宋体" w:eastAsia="宋体" w:cs="宋体"/>
          <w:color w:val="auto"/>
          <w:szCs w:val="21"/>
        </w:rPr>
        <w:t>生活</w:t>
      </w:r>
      <w:r>
        <w:rPr>
          <w:rFonts w:hint="eastAsia" w:ascii="宋体" w:hAnsi="宋体" w:cs="宋体"/>
          <w:color w:val="auto"/>
          <w:szCs w:val="21"/>
          <w:lang w:eastAsia="zh-CN"/>
        </w:rPr>
        <w:t>服务</w:t>
      </w:r>
      <w:r>
        <w:rPr>
          <w:rFonts w:hint="eastAsia" w:ascii="宋体" w:hAnsi="宋体" w:eastAsia="宋体" w:cs="宋体"/>
          <w:color w:val="auto"/>
          <w:szCs w:val="21"/>
        </w:rPr>
        <w:t>维度。</w:t>
      </w:r>
    </w:p>
    <w:p>
      <w:pPr>
        <w:spacing w:line="240" w:lineRule="auto"/>
        <w:ind w:right="560"/>
        <w:outlineLvl w:val="0"/>
        <w:rPr>
          <w:rFonts w:hint="eastAsia" w:ascii="黑体" w:hAnsi="黑体" w:eastAsia="黑体" w:cs="黑体"/>
          <w:color w:val="auto"/>
          <w:szCs w:val="21"/>
        </w:rPr>
      </w:pPr>
      <w:r>
        <w:rPr>
          <w:rFonts w:hint="eastAsia" w:ascii="黑体" w:hAnsi="黑体" w:eastAsia="黑体" w:cs="黑体"/>
          <w:color w:val="auto"/>
          <w:szCs w:val="21"/>
        </w:rPr>
        <w:t>6.2 需求分析</w:t>
      </w:r>
    </w:p>
    <w:p>
      <w:pPr>
        <w:spacing w:line="240" w:lineRule="auto"/>
        <w:ind w:right="560"/>
        <w:outlineLvl w:val="0"/>
        <w:rPr>
          <w:rFonts w:hint="eastAsia" w:ascii="宋体" w:hAnsi="宋体" w:eastAsia="宋体" w:cs="宋体"/>
          <w:color w:val="auto"/>
          <w:szCs w:val="21"/>
        </w:rPr>
      </w:pPr>
      <w:r>
        <w:rPr>
          <w:rFonts w:hint="eastAsia" w:ascii="宋体" w:hAnsi="宋体" w:eastAsia="宋体" w:cs="宋体"/>
          <w:color w:val="auto"/>
          <w:szCs w:val="21"/>
        </w:rPr>
        <w:t>6.2.1 物业服务企业对调研的数据进行分析和论证，现场项目管理团队宜作为需求分析的主体。</w:t>
      </w:r>
    </w:p>
    <w:p>
      <w:pPr>
        <w:spacing w:line="240" w:lineRule="auto"/>
        <w:ind w:right="560"/>
        <w:outlineLvl w:val="0"/>
        <w:rPr>
          <w:rFonts w:hint="eastAsia" w:ascii="宋体" w:hAnsi="宋体" w:eastAsia="宋体" w:cs="宋体"/>
          <w:color w:val="auto"/>
          <w:szCs w:val="21"/>
        </w:rPr>
      </w:pPr>
      <w:r>
        <w:rPr>
          <w:rFonts w:hint="eastAsia" w:ascii="宋体" w:hAnsi="宋体" w:eastAsia="宋体" w:cs="宋体"/>
          <w:color w:val="auto"/>
          <w:szCs w:val="21"/>
        </w:rPr>
        <w:t>6.2.2 物业服务企业应根据调研结果，设计可开展的生活服务。对可自营的业务进行深度分析，确定实施路径；对于</w:t>
      </w:r>
      <w:r>
        <w:rPr>
          <w:rFonts w:hint="eastAsia" w:ascii="宋体" w:hAnsi="宋体" w:cs="宋体"/>
          <w:color w:val="auto"/>
          <w:szCs w:val="21"/>
          <w:lang w:eastAsia="zh-CN"/>
        </w:rPr>
        <w:t>和供应商</w:t>
      </w:r>
      <w:r>
        <w:rPr>
          <w:rFonts w:hint="eastAsia" w:ascii="宋体" w:hAnsi="宋体" w:eastAsia="宋体" w:cs="宋体"/>
          <w:color w:val="auto"/>
          <w:szCs w:val="21"/>
        </w:rPr>
        <w:t>联营的业务，应与供应商一同商议服务流程和实施路径。</w:t>
      </w:r>
    </w:p>
    <w:p>
      <w:pPr>
        <w:spacing w:line="240" w:lineRule="auto"/>
        <w:ind w:right="560"/>
        <w:outlineLvl w:val="0"/>
        <w:rPr>
          <w:rFonts w:hint="eastAsia" w:ascii="黑体" w:hAnsi="黑体" w:eastAsia="黑体" w:cs="黑体"/>
          <w:color w:val="auto"/>
          <w:szCs w:val="21"/>
        </w:rPr>
      </w:pPr>
      <w:r>
        <w:rPr>
          <w:rFonts w:hint="eastAsia" w:ascii="黑体" w:hAnsi="黑体" w:eastAsia="黑体" w:cs="黑体"/>
          <w:color w:val="auto"/>
          <w:szCs w:val="21"/>
        </w:rPr>
        <w:t>6.3 服务设计</w:t>
      </w:r>
    </w:p>
    <w:p>
      <w:pPr>
        <w:spacing w:line="240" w:lineRule="auto"/>
        <w:ind w:right="560"/>
        <w:outlineLvl w:val="0"/>
        <w:rPr>
          <w:rFonts w:hint="eastAsia" w:ascii="黑体" w:hAnsi="黑体" w:eastAsia="宋体" w:cs="黑体"/>
          <w:color w:val="auto"/>
          <w:szCs w:val="21"/>
          <w:lang w:eastAsia="zh-CN"/>
        </w:rPr>
      </w:pPr>
      <w:r>
        <w:rPr>
          <w:rFonts w:hint="eastAsia" w:ascii="宋体" w:hAnsi="宋体" w:eastAsia="宋体" w:cs="宋体"/>
          <w:color w:val="auto"/>
          <w:szCs w:val="21"/>
        </w:rPr>
        <w:t>根据业主需求的紧急程度，确定优先级别</w:t>
      </w:r>
      <w:r>
        <w:rPr>
          <w:rFonts w:hint="eastAsia" w:ascii="宋体" w:hAnsi="宋体" w:cs="宋体"/>
          <w:color w:val="auto"/>
          <w:szCs w:val="21"/>
          <w:lang w:eastAsia="zh-CN"/>
        </w:rPr>
        <w:t>后</w:t>
      </w:r>
      <w:r>
        <w:rPr>
          <w:rFonts w:hint="eastAsia" w:ascii="宋体" w:hAnsi="宋体" w:eastAsia="宋体" w:cs="宋体"/>
          <w:color w:val="auto"/>
          <w:szCs w:val="21"/>
        </w:rPr>
        <w:t>进行服务设计</w:t>
      </w:r>
      <w:r>
        <w:rPr>
          <w:rFonts w:hint="eastAsia" w:ascii="宋体" w:hAnsi="宋体" w:cs="宋体"/>
          <w:color w:val="auto"/>
          <w:szCs w:val="21"/>
          <w:lang w:eastAsia="zh-CN"/>
        </w:rPr>
        <w:t>，服务设计宜考虑但不限于以下内容：</w:t>
      </w:r>
    </w:p>
    <w:p>
      <w:pPr>
        <w:spacing w:line="240" w:lineRule="auto"/>
        <w:ind w:right="0" w:firstLine="420" w:firstLineChars="200"/>
        <w:outlineLvl w:val="0"/>
        <w:rPr>
          <w:rFonts w:hint="eastAsia" w:ascii="宋体" w:hAnsi="宋体" w:eastAsia="宋体" w:cs="宋体"/>
          <w:color w:val="auto"/>
          <w:szCs w:val="21"/>
        </w:rPr>
      </w:pPr>
      <w:r>
        <w:rPr>
          <w:rFonts w:hint="eastAsia" w:ascii="宋体" w:hAnsi="宋体" w:cs="宋体"/>
          <w:color w:val="auto"/>
          <w:szCs w:val="21"/>
          <w:lang w:val="en-US" w:eastAsia="zh-CN"/>
        </w:rPr>
        <w:t>a）</w:t>
      </w:r>
      <w:r>
        <w:rPr>
          <w:rFonts w:hint="eastAsia" w:ascii="宋体" w:hAnsi="宋体" w:eastAsia="宋体" w:cs="宋体"/>
          <w:color w:val="auto"/>
          <w:szCs w:val="21"/>
        </w:rPr>
        <w:t xml:space="preserve"> 融合传统物业服务，物业服务企业所提供的服务项目不</w:t>
      </w:r>
      <w:r>
        <w:rPr>
          <w:rFonts w:hint="eastAsia" w:ascii="宋体" w:hAnsi="宋体" w:cs="宋体"/>
          <w:color w:val="auto"/>
          <w:szCs w:val="21"/>
          <w:lang w:val="en-US" w:eastAsia="zh-CN"/>
        </w:rPr>
        <w:t>宜</w:t>
      </w:r>
      <w:r>
        <w:rPr>
          <w:rFonts w:hint="eastAsia" w:ascii="宋体" w:hAnsi="宋体" w:eastAsia="宋体" w:cs="宋体"/>
          <w:color w:val="auto"/>
          <w:szCs w:val="21"/>
        </w:rPr>
        <w:t>独立于基础物业服务。</w:t>
      </w:r>
    </w:p>
    <w:p>
      <w:pPr>
        <w:spacing w:line="240" w:lineRule="auto"/>
        <w:ind w:right="0" w:firstLine="420" w:firstLineChars="200"/>
        <w:outlineLvl w:val="0"/>
        <w:rPr>
          <w:rFonts w:hint="eastAsia" w:ascii="宋体" w:hAnsi="宋体" w:eastAsia="宋体" w:cs="宋体"/>
          <w:color w:val="auto"/>
          <w:szCs w:val="21"/>
          <w:highlight w:val="none"/>
        </w:rPr>
      </w:pPr>
      <w:r>
        <w:rPr>
          <w:rFonts w:hint="eastAsia" w:ascii="宋体" w:hAnsi="宋体" w:cs="宋体"/>
          <w:color w:val="auto"/>
          <w:szCs w:val="21"/>
          <w:lang w:val="en-US" w:eastAsia="zh-CN"/>
        </w:rPr>
        <w:t>b）</w:t>
      </w:r>
      <w:r>
        <w:rPr>
          <w:rFonts w:hint="eastAsia" w:ascii="宋体" w:hAnsi="宋体" w:eastAsia="宋体" w:cs="宋体"/>
          <w:color w:val="auto"/>
          <w:szCs w:val="21"/>
        </w:rPr>
        <w:t xml:space="preserve"> 宜遵循主题化、场景化、 戏剧化的原则，</w:t>
      </w:r>
      <w:r>
        <w:rPr>
          <w:rFonts w:hint="eastAsia" w:ascii="宋体" w:hAnsi="宋体" w:eastAsia="宋体" w:cs="宋体"/>
          <w:color w:val="auto"/>
          <w:szCs w:val="21"/>
          <w:highlight w:val="none"/>
        </w:rPr>
        <w:t>规划各节点营销活动主题思路。</w:t>
      </w:r>
    </w:p>
    <w:p>
      <w:pPr>
        <w:spacing w:line="240" w:lineRule="auto"/>
        <w:ind w:right="0" w:firstLine="420" w:firstLineChars="200"/>
        <w:outlineLvl w:val="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eastAsia="宋体" w:cs="宋体"/>
          <w:color w:val="auto"/>
          <w:szCs w:val="21"/>
          <w:highlight w:val="none"/>
        </w:rPr>
        <w:t xml:space="preserve"> 应体现贴近生活、便捷便利、</w:t>
      </w:r>
      <w:r>
        <w:rPr>
          <w:rFonts w:hint="eastAsia" w:ascii="宋体" w:hAnsi="宋体" w:cs="宋体"/>
          <w:color w:val="auto"/>
          <w:szCs w:val="21"/>
          <w:highlight w:val="none"/>
          <w:lang w:val="en-US" w:eastAsia="zh-CN"/>
        </w:rPr>
        <w:t>高性价比</w:t>
      </w:r>
      <w:r>
        <w:rPr>
          <w:rFonts w:hint="eastAsia" w:ascii="宋体" w:hAnsi="宋体" w:eastAsia="宋体" w:cs="宋体"/>
          <w:color w:val="auto"/>
          <w:szCs w:val="21"/>
          <w:highlight w:val="none"/>
        </w:rPr>
        <w:t>的特点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可将商品</w:t>
      </w:r>
      <w:r>
        <w:rPr>
          <w:rFonts w:hint="eastAsia" w:ascii="宋体" w:hAnsi="宋体" w:cs="宋体"/>
          <w:color w:val="auto"/>
          <w:szCs w:val="21"/>
          <w:highlight w:val="none"/>
          <w:lang w:val="en-US" w:eastAsia="zh-CN"/>
        </w:rPr>
        <w:t>服务化、</w:t>
      </w:r>
      <w:r>
        <w:rPr>
          <w:rFonts w:hint="eastAsia" w:ascii="宋体" w:hAnsi="宋体" w:eastAsia="宋体" w:cs="宋体"/>
          <w:color w:val="auto"/>
          <w:szCs w:val="21"/>
          <w:highlight w:val="none"/>
        </w:rPr>
        <w:t>服务产品</w:t>
      </w:r>
      <w:r>
        <w:rPr>
          <w:rFonts w:hint="eastAsia" w:ascii="宋体" w:hAnsi="宋体" w:cs="宋体"/>
          <w:color w:val="auto"/>
          <w:szCs w:val="21"/>
          <w:highlight w:val="none"/>
          <w:lang w:val="en-US" w:eastAsia="zh-CN"/>
        </w:rPr>
        <w:t>化进行推广</w:t>
      </w:r>
      <w:r>
        <w:rPr>
          <w:rFonts w:hint="eastAsia" w:ascii="宋体" w:hAnsi="宋体" w:eastAsia="宋体" w:cs="宋体"/>
          <w:color w:val="auto"/>
          <w:szCs w:val="21"/>
          <w:highlight w:val="none"/>
        </w:rPr>
        <w:t>。</w:t>
      </w:r>
    </w:p>
    <w:p>
      <w:pPr>
        <w:spacing w:line="240" w:lineRule="auto"/>
        <w:ind w:right="0" w:firstLine="420" w:firstLineChars="200"/>
        <w:outlineLvl w:val="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d）</w:t>
      </w:r>
      <w:r>
        <w:rPr>
          <w:rFonts w:hint="eastAsia" w:ascii="宋体" w:hAnsi="宋体" w:eastAsia="宋体" w:cs="宋体"/>
          <w:color w:val="auto"/>
          <w:szCs w:val="21"/>
          <w:highlight w:val="none"/>
        </w:rPr>
        <w:t xml:space="preserve"> 服务设计过程应加入供应商甄选的环节，充分采纳供应商意见，为业主提供优质的服务。</w:t>
      </w:r>
    </w:p>
    <w:p>
      <w:pPr>
        <w:spacing w:line="240" w:lineRule="auto"/>
        <w:ind w:right="0" w:firstLine="420" w:firstLineChars="200"/>
        <w:outlineLvl w:val="0"/>
        <w:rPr>
          <w:rFonts w:hint="eastAsia" w:ascii="宋体" w:hAnsi="宋体" w:eastAsia="宋体" w:cs="宋体"/>
          <w:color w:val="auto"/>
          <w:szCs w:val="21"/>
        </w:rPr>
      </w:pPr>
      <w:r>
        <w:rPr>
          <w:rFonts w:hint="eastAsia" w:ascii="宋体" w:hAnsi="宋体" w:cs="宋体"/>
          <w:color w:val="auto"/>
          <w:szCs w:val="21"/>
          <w:highlight w:val="none"/>
          <w:lang w:val="en-US" w:eastAsia="zh-CN"/>
        </w:rPr>
        <w:t>e</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服务设计到业务实施的过程中，宜做好数据</w:t>
      </w:r>
      <w:r>
        <w:rPr>
          <w:rFonts w:hint="eastAsia" w:ascii="宋体" w:hAnsi="宋体" w:eastAsia="宋体" w:cs="宋体"/>
          <w:color w:val="auto"/>
          <w:szCs w:val="21"/>
        </w:rPr>
        <w:t>和客户反馈</w:t>
      </w:r>
      <w:r>
        <w:rPr>
          <w:rFonts w:hint="eastAsia" w:ascii="宋体" w:hAnsi="宋体" w:cs="宋体"/>
          <w:color w:val="auto"/>
          <w:szCs w:val="21"/>
          <w:lang w:val="en-US" w:eastAsia="zh-CN"/>
        </w:rPr>
        <w:t>信息</w:t>
      </w:r>
      <w:r>
        <w:rPr>
          <w:rFonts w:hint="eastAsia" w:ascii="宋体" w:hAnsi="宋体" w:eastAsia="宋体" w:cs="宋体"/>
          <w:color w:val="auto"/>
          <w:szCs w:val="21"/>
        </w:rPr>
        <w:t>的收集，以使服务设计更贴近需求。</w:t>
      </w:r>
    </w:p>
    <w:p>
      <w:pPr>
        <w:spacing w:line="600" w:lineRule="auto"/>
        <w:ind w:right="560"/>
        <w:outlineLvl w:val="0"/>
        <w:rPr>
          <w:rFonts w:hint="default" w:ascii="黑体" w:hAnsi="黑体" w:eastAsia="黑体" w:cs="黑体"/>
          <w:color w:val="000000"/>
          <w:szCs w:val="21"/>
          <w:u w:val="single"/>
          <w:lang w:val="en-US" w:eastAsia="zh-CN"/>
        </w:rPr>
      </w:pPr>
      <w:r>
        <w:rPr>
          <w:rFonts w:hint="eastAsia" w:ascii="黑体" w:hAnsi="黑体" w:eastAsia="黑体" w:cs="黑体"/>
          <w:color w:val="000000"/>
          <w:szCs w:val="21"/>
          <w:lang w:val="en-US" w:eastAsia="zh-CN"/>
        </w:rPr>
        <w:t xml:space="preserve">7 </w:t>
      </w:r>
      <w:r>
        <w:rPr>
          <w:rFonts w:hint="eastAsia" w:ascii="黑体" w:hAnsi="黑体" w:eastAsia="黑体" w:cs="黑体"/>
          <w:color w:val="000000"/>
          <w:szCs w:val="21"/>
        </w:rPr>
        <w:t>服务实施</w:t>
      </w:r>
    </w:p>
    <w:p>
      <w:pPr>
        <w:spacing w:line="360" w:lineRule="auto"/>
        <w:ind w:right="560"/>
        <w:outlineLvl w:val="1"/>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7</w:t>
      </w:r>
      <w:r>
        <w:rPr>
          <w:rFonts w:hint="eastAsia" w:ascii="黑体" w:hAnsi="黑体" w:eastAsia="黑体" w:cs="黑体"/>
          <w:b w:val="0"/>
          <w:bCs w:val="0"/>
          <w:color w:val="000000"/>
          <w:szCs w:val="21"/>
        </w:rPr>
        <w:t xml:space="preserve">.1 </w:t>
      </w:r>
      <w:r>
        <w:rPr>
          <w:rFonts w:hint="eastAsia" w:ascii="黑体" w:hAnsi="黑体" w:eastAsia="黑体" w:cs="黑体"/>
          <w:b w:val="0"/>
          <w:bCs w:val="0"/>
          <w:color w:val="000000"/>
          <w:szCs w:val="21"/>
          <w:lang w:val="en-US" w:eastAsia="zh-CN"/>
        </w:rPr>
        <w:t>社区文化活动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7.1.1服务内容</w:t>
      </w:r>
    </w:p>
    <w:p>
      <w:pPr>
        <w:pStyle w:val="223"/>
        <w:numPr>
          <w:ilvl w:val="0"/>
          <w:numId w:val="0"/>
        </w:num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社区文化活动包括年度主题活动，社区节日、节气文化活动，广场舞、体育比赛，感情交流活动，集市活动，摄影、书法、合唱活动等；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7.1.2 活动要点</w:t>
      </w:r>
    </w:p>
    <w:p>
      <w:pPr>
        <w:pStyle w:val="223"/>
        <w:numPr>
          <w:ilvl w:val="0"/>
          <w:numId w:val="0"/>
        </w:num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7.1.2.1 物业服务企业宜根据《物业服务合同》和社区居民需要制定年度社区文化活动计划，活动计划可由项目经理与社区管理机构、业主大会进行整体商议后确定，计划应该包括：</w:t>
      </w:r>
    </w:p>
    <w:p>
      <w:pPr>
        <w:ind w:firstLine="420"/>
        <w:outlineLv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a）活动主题；</w:t>
      </w:r>
    </w:p>
    <w:p>
      <w:pPr>
        <w:ind w:firstLine="420"/>
        <w:outlineLv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b）活动时间；</w:t>
      </w:r>
    </w:p>
    <w:p>
      <w:pPr>
        <w:ind w:firstLine="420"/>
        <w:outlineLv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c）活动形式；</w:t>
      </w:r>
    </w:p>
    <w:p>
      <w:pPr>
        <w:ind w:firstLine="420"/>
        <w:outlineLv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d）活动预算等</w:t>
      </w:r>
      <w:r>
        <w:rPr>
          <w:rFonts w:hint="eastAsia" w:ascii="宋体" w:hAnsi="宋体" w:cs="宋体"/>
          <w:color w:val="auto"/>
          <w:kern w:val="2"/>
          <w:sz w:val="21"/>
          <w:szCs w:val="21"/>
          <w:lang w:val="en-US" w:eastAsia="zh-CN" w:bidi="ar-SA"/>
        </w:rPr>
        <w:t>。</w:t>
      </w:r>
    </w:p>
    <w:p>
      <w:pPr>
        <w:ind w:firstLine="0"/>
        <w:outlineLvl w:val="0"/>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 xml:space="preserve">7.1.2.2 </w:t>
      </w:r>
      <w:r>
        <w:rPr>
          <w:rFonts w:hint="eastAsia" w:ascii="宋体" w:hAnsi="宋体" w:eastAsia="宋体" w:cs="宋体"/>
          <w:color w:val="auto"/>
          <w:kern w:val="2"/>
          <w:sz w:val="21"/>
          <w:szCs w:val="21"/>
          <w:lang w:val="en-US" w:eastAsia="zh-CN" w:bidi="ar-SA"/>
        </w:rPr>
        <w:t>单次活动若有必要可制定详细活动方案。</w:t>
      </w:r>
    </w:p>
    <w:p>
      <w:pPr>
        <w:pStyle w:val="223"/>
        <w:numPr>
          <w:ilvl w:val="0"/>
          <w:numId w:val="0"/>
        </w:num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7.1.2.3 可在活动举办前，通过海报、宣传栏等方式，向社区业主进行宣传和公告；必要时可由社区管家或其他工作人员逐一通知到位。</w:t>
      </w:r>
    </w:p>
    <w:p>
      <w:pPr>
        <w:pStyle w:val="223"/>
        <w:numPr>
          <w:ilvl w:val="0"/>
          <w:numId w:val="0"/>
        </w:num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7.1.2.4 可鼓励业主积极参与，主动发现并鼓励社区能人、艺人共同参与；可联动社区周边商家，共同营造社区和谐氛围，打造社区互动平台。</w:t>
      </w:r>
    </w:p>
    <w:p>
      <w:pPr>
        <w:pStyle w:val="223"/>
        <w:numPr>
          <w:ilvl w:val="0"/>
          <w:numId w:val="0"/>
        </w:numPr>
        <w:spacing w:line="24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7.1.2.5 可适当收取商家入场费，物业服务企业应制定收费标准，做好公益性收入登记，并与其他增值服务收费一并公示。</w:t>
      </w:r>
    </w:p>
    <w:p>
      <w:pPr>
        <w:spacing w:line="600" w:lineRule="auto"/>
        <w:ind w:right="560"/>
        <w:outlineLvl w:val="1"/>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7.2 社区居家养老服务</w:t>
      </w:r>
    </w:p>
    <w:p>
      <w:pPr>
        <w:spacing w:line="240" w:lineRule="auto"/>
        <w:ind w:right="560"/>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7.2.1  服务内容</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社区居家养老服务包括生活照护服务、健康管理服务、精神慰藉服务、出行服务、委托代办服务、适老化改造服务等。</w:t>
      </w:r>
    </w:p>
    <w:p>
      <w:pPr>
        <w:spacing w:line="240" w:lineRule="auto"/>
        <w:ind w:right="560"/>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7.2.2  规范经营</w:t>
      </w:r>
    </w:p>
    <w:p>
      <w:pPr>
        <w:numPr>
          <w:ilvl w:val="0"/>
          <w:numId w:val="0"/>
        </w:numPr>
        <w:spacing w:line="240" w:lineRule="auto"/>
        <w:ind w:right="560" w:rightChars="0"/>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7.2.2.1  物业服务企业开展居家养老服务，应满足居家养老行业的经营资质需要。</w:t>
      </w:r>
    </w:p>
    <w:p>
      <w:pPr>
        <w:numPr>
          <w:ilvl w:val="0"/>
          <w:numId w:val="0"/>
        </w:numPr>
        <w:spacing w:line="240" w:lineRule="auto"/>
        <w:ind w:right="560" w:rightChars="0"/>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7.2.2.2  物业服务企业应根据属地相关规定，办理人力资源和社会保障部门颁发的劳务派遣许可证，若采取第三方劳务派遣模式，应与劳务方签订劳务派遣合同。</w:t>
      </w:r>
    </w:p>
    <w:p>
      <w:pPr>
        <w:numPr>
          <w:ilvl w:val="0"/>
          <w:numId w:val="0"/>
        </w:numPr>
        <w:spacing w:line="240" w:lineRule="auto"/>
        <w:ind w:right="560" w:rightChars="0"/>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7.2.2.3  物业服务企业应与服务对象签订服务协议，明确约定服务组织、服务人员和服务对象三方的责任和义务</w:t>
      </w:r>
      <w:r>
        <w:rPr>
          <w:rFonts w:hint="eastAsia" w:asciiTheme="minorEastAsia" w:hAnsiTheme="minorEastAsia" w:eastAsiaTheme="minorEastAsia" w:cstheme="minorEastAsia"/>
          <w:color w:val="FF0000"/>
          <w:szCs w:val="21"/>
          <w:lang w:val="en-US" w:eastAsia="zh-CN"/>
        </w:rPr>
        <w:t>。</w:t>
      </w:r>
    </w:p>
    <w:p>
      <w:pPr>
        <w:spacing w:line="240" w:lineRule="auto"/>
        <w:ind w:right="560"/>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7.2.3 供应商选择</w:t>
      </w:r>
    </w:p>
    <w:p>
      <w:pPr>
        <w:spacing w:line="240" w:lineRule="auto"/>
        <w:ind w:right="0" w:firstLine="420" w:firstLineChars="200"/>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建议物业服务企业在选择</w:t>
      </w:r>
      <w:r>
        <w:rPr>
          <w:rFonts w:hint="eastAsia" w:asciiTheme="minorEastAsia" w:hAnsiTheme="minorEastAsia" w:eastAsiaTheme="minorEastAsia" w:cstheme="minorEastAsia"/>
          <w:color w:val="000000"/>
          <w:szCs w:val="21"/>
          <w:lang w:val="en-US" w:eastAsia="zh-CN"/>
        </w:rPr>
        <w:t>社区居家养老供应商之前宜考虑以下因素：</w:t>
      </w:r>
    </w:p>
    <w:p>
      <w:pPr>
        <w:spacing w:line="240" w:lineRule="auto"/>
        <w:ind w:left="840" w:leftChars="200" w:right="0" w:hanging="420" w:hangingChars="200"/>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a）宜选择属地优质社区居家养老供应商进行合作，居家养老供应商要具备同行业合作经验，背景调查无负面信息。</w:t>
      </w:r>
    </w:p>
    <w:p>
      <w:pPr>
        <w:numPr>
          <w:ilvl w:val="0"/>
          <w:numId w:val="0"/>
        </w:numPr>
        <w:spacing w:line="240" w:lineRule="auto"/>
        <w:ind w:left="840" w:leftChars="200" w:right="0" w:rightChars="0" w:hanging="420" w:hangingChars="200"/>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b）与社区居家养老供应商合作开展居家养老服务，宜实地实景评估供应商水平，签订合作合同，建立线上系统平台并实时接收和响应业主服务需求。</w:t>
      </w:r>
    </w:p>
    <w:p>
      <w:pPr>
        <w:numPr>
          <w:ilvl w:val="0"/>
          <w:numId w:val="0"/>
        </w:numPr>
        <w:spacing w:line="240" w:lineRule="auto"/>
        <w:ind w:left="840" w:leftChars="200" w:right="0" w:rightChars="0" w:hanging="420" w:hangingChars="200"/>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c）物业服务企业宜与社区居家养老供应商制定服务评价体系。</w:t>
      </w:r>
    </w:p>
    <w:p>
      <w:pPr>
        <w:spacing w:line="240" w:lineRule="auto"/>
        <w:ind w:right="560"/>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7.2.4 自主经营</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7.2.4.1 物业服务企业自主经营社区居家养老业务，可结合自身情况，采用复合用工自营或专职用工自营模式；</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7.2.4.2 物业服务企业自主经营应建立合理、明确的社区居家养老服务相关制度文件，包括服务方案、管理标准、服务标准、岗位职责、监督检查标准、应急预案等。</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7.2.4.3 物业服务企业自主经营应制定培训计划，开展培训活动，对培训效果进行评价和改进。培训内容包括：</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a）制度文件内容；</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b）养老服务专业知识和技能；</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c）与老人的沟通技巧；</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d）安全保护及应急处置方法。</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7.2.4.4 物业服务企业自营社区居家养老服务人员应实行认证上岗制。</w:t>
      </w:r>
      <w:r>
        <w:rPr>
          <w:rFonts w:hint="eastAsia" w:asciiTheme="minorEastAsia" w:hAnsiTheme="minorEastAsia" w:eastAsiaTheme="minorEastAsia" w:cstheme="minorEastAsia"/>
          <w:color w:val="000000"/>
          <w:szCs w:val="21"/>
          <w:highlight w:val="none"/>
          <w:lang w:val="en-US" w:eastAsia="zh-CN"/>
        </w:rPr>
        <w:t>服务人员应掌握社区居家养老服务专业知识和技能，取得养老护理员证书（国家职业资格五级）或其他相应培训合格证书。</w:t>
      </w:r>
    </w:p>
    <w:p>
      <w:pPr>
        <w:spacing w:line="600" w:lineRule="auto"/>
        <w:ind w:right="560"/>
        <w:outlineLvl w:val="1"/>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7</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3</w:t>
      </w:r>
      <w:r>
        <w:rPr>
          <w:rFonts w:hint="eastAsia" w:ascii="黑体" w:hAnsi="黑体" w:eastAsia="黑体" w:cs="黑体"/>
          <w:b w:val="0"/>
          <w:bCs w:val="0"/>
          <w:color w:val="000000"/>
          <w:szCs w:val="21"/>
        </w:rPr>
        <w:t xml:space="preserve">  </w:t>
      </w:r>
      <w:r>
        <w:rPr>
          <w:rFonts w:hint="eastAsia" w:ascii="黑体" w:hAnsi="黑体" w:eastAsia="黑体" w:cs="黑体"/>
          <w:b w:val="0"/>
          <w:bCs w:val="0"/>
          <w:color w:val="000000"/>
          <w:szCs w:val="21"/>
          <w:lang w:val="en-US" w:eastAsia="zh-CN"/>
        </w:rPr>
        <w:t>社区餐饮服务</w:t>
      </w:r>
    </w:p>
    <w:p>
      <w:pPr>
        <w:numPr>
          <w:ilvl w:val="0"/>
          <w:numId w:val="0"/>
        </w:numPr>
        <w:spacing w:line="240" w:lineRule="auto"/>
        <w:ind w:right="560" w:rightChars="0"/>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7.3.1  服务内容</w:t>
      </w:r>
    </w:p>
    <w:p>
      <w:pPr>
        <w:numPr>
          <w:ilvl w:val="0"/>
          <w:numId w:val="0"/>
        </w:numPr>
        <w:spacing w:line="240" w:lineRule="auto"/>
        <w:ind w:right="560" w:right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 xml:space="preserve"> 社区餐饮服务包括但不限于：食堂供餐服务、订餐配送服务、</w:t>
      </w:r>
      <w:r>
        <w:rPr>
          <w:rFonts w:hint="eastAsia" w:asciiTheme="minorEastAsia" w:hAnsiTheme="minorEastAsia" w:eastAsiaTheme="minorEastAsia" w:cstheme="minorEastAsia"/>
          <w:color w:val="auto"/>
          <w:szCs w:val="21"/>
          <w:highlight w:val="none"/>
          <w:lang w:val="en-US" w:eastAsia="zh-CN"/>
        </w:rPr>
        <w:t>食品购买服务等内容。</w:t>
      </w:r>
    </w:p>
    <w:p>
      <w:pPr>
        <w:spacing w:line="240" w:lineRule="auto"/>
        <w:ind w:right="560"/>
        <w:rPr>
          <w:rFonts w:hint="eastAsia" w:ascii="黑体" w:hAnsi="黑体" w:eastAsia="黑体" w:cs="黑体"/>
          <w:b w:val="0"/>
          <w:bCs w:val="0"/>
          <w:color w:val="000000"/>
          <w:szCs w:val="21"/>
          <w:highlight w:val="none"/>
          <w:lang w:val="en-US" w:eastAsia="zh-CN"/>
        </w:rPr>
      </w:pPr>
      <w:r>
        <w:rPr>
          <w:rFonts w:hint="eastAsia" w:ascii="黑体" w:hAnsi="黑体" w:eastAsia="黑体" w:cs="黑体"/>
          <w:b w:val="0"/>
          <w:bCs w:val="0"/>
          <w:color w:val="000000"/>
          <w:szCs w:val="21"/>
          <w:highlight w:val="none"/>
          <w:lang w:val="en-US" w:eastAsia="zh-CN"/>
        </w:rPr>
        <w:t>7.3.2  规范经营</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7.3.2.1  物业服务企业开展社区餐饮服务，应满足社区餐饮行业的经营资质需要，在企业营业执照中增加食堂承包、食堂托管、餐饮管理、食堂管理、营养配餐、蔬菜粮油副食品配送、厨房设计、食堂保洁、餐饮服务等社区餐饮关联的经营范围。</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7.3.2.2  物业服务企业</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应根</w:t>
      </w:r>
      <w:r>
        <w:rPr>
          <w:rFonts w:hint="eastAsia" w:asciiTheme="minorEastAsia" w:hAnsiTheme="minorEastAsia" w:eastAsiaTheme="minorEastAsia" w:cstheme="minorEastAsia"/>
          <w:color w:val="000000"/>
          <w:szCs w:val="21"/>
          <w:highlight w:val="none"/>
          <w:lang w:val="en-US" w:eastAsia="zh-CN"/>
        </w:rPr>
        <w:t>据属地相关规定，办理人力资源和社会保障部门颁发的劳务派遣许可证；若采取第三方劳务派遣模式，应与劳务方签订劳务派遣合同。</w:t>
      </w:r>
    </w:p>
    <w:p>
      <w:pPr>
        <w:numPr>
          <w:ilvl w:val="0"/>
          <w:numId w:val="0"/>
        </w:numPr>
        <w:spacing w:line="240" w:lineRule="auto"/>
        <w:ind w:right="560" w:right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7.3.2.3  物业服务企业应与服务对象签订服务协议，明确约定服务组织、服务人员和服务对象三方的责任和义务。</w:t>
      </w:r>
    </w:p>
    <w:p>
      <w:pPr>
        <w:spacing w:line="240" w:lineRule="auto"/>
        <w:ind w:right="560"/>
        <w:rPr>
          <w:rFonts w:hint="eastAsia" w:ascii="黑体" w:hAnsi="黑体" w:eastAsia="黑体" w:cs="黑体"/>
          <w:b w:val="0"/>
          <w:bCs w:val="0"/>
          <w:color w:val="000000"/>
          <w:szCs w:val="21"/>
          <w:highlight w:val="none"/>
          <w:lang w:val="en-US" w:eastAsia="zh-CN"/>
        </w:rPr>
      </w:pPr>
      <w:r>
        <w:rPr>
          <w:rFonts w:hint="eastAsia" w:ascii="黑体" w:hAnsi="黑体" w:eastAsia="黑体" w:cs="黑体"/>
          <w:b w:val="0"/>
          <w:bCs w:val="0"/>
          <w:color w:val="000000"/>
          <w:szCs w:val="21"/>
          <w:highlight w:val="none"/>
          <w:lang w:val="en-US" w:eastAsia="zh-CN"/>
        </w:rPr>
        <w:t>7.3.3 供应商选择</w:t>
      </w:r>
    </w:p>
    <w:p>
      <w:pPr>
        <w:spacing w:line="240" w:lineRule="auto"/>
        <w:ind w:right="0" w:firstLine="420" w:firstLineChars="200"/>
        <w:rPr>
          <w:rFonts w:hint="eastAsia" w:ascii="黑体" w:hAnsi="黑体" w:eastAsia="黑体" w:cs="黑体"/>
          <w:b w:val="0"/>
          <w:bCs w:val="0"/>
          <w:color w:val="000000"/>
          <w:szCs w:val="21"/>
          <w:highlight w:val="none"/>
          <w:lang w:val="en-US" w:eastAsia="zh-CN"/>
        </w:rPr>
      </w:pPr>
      <w:r>
        <w:rPr>
          <w:rFonts w:hint="eastAsia" w:asciiTheme="minorEastAsia" w:hAnsiTheme="minorEastAsia" w:eastAsiaTheme="minorEastAsia" w:cstheme="minorEastAsia"/>
          <w:b w:val="0"/>
          <w:bCs w:val="0"/>
          <w:color w:val="000000"/>
          <w:szCs w:val="21"/>
          <w:lang w:val="en-US" w:eastAsia="zh-CN"/>
        </w:rPr>
        <w:t>建议物业服务企业在选择</w:t>
      </w:r>
      <w:r>
        <w:rPr>
          <w:rFonts w:hint="eastAsia" w:asciiTheme="minorEastAsia" w:hAnsiTheme="minorEastAsia" w:eastAsiaTheme="minorEastAsia" w:cstheme="minorEastAsia"/>
          <w:color w:val="000000"/>
          <w:szCs w:val="21"/>
          <w:highlight w:val="none"/>
          <w:lang w:val="en-US" w:eastAsia="zh-CN"/>
        </w:rPr>
        <w:t>社区餐饮业务</w:t>
      </w:r>
      <w:r>
        <w:rPr>
          <w:rFonts w:hint="eastAsia" w:asciiTheme="minorEastAsia" w:hAnsiTheme="minorEastAsia" w:eastAsiaTheme="minorEastAsia" w:cstheme="minorEastAsia"/>
          <w:color w:val="000000"/>
          <w:szCs w:val="21"/>
          <w:lang w:val="en-US" w:eastAsia="zh-CN"/>
        </w:rPr>
        <w:t>供应商之前宜考虑以下因素：</w:t>
      </w:r>
    </w:p>
    <w:p>
      <w:pPr>
        <w:numPr>
          <w:ilvl w:val="0"/>
          <w:numId w:val="0"/>
        </w:numPr>
        <w:spacing w:line="240" w:lineRule="auto"/>
        <w:ind w:right="56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lang w:val="en-US" w:eastAsia="zh-CN"/>
        </w:rPr>
        <w:t>a）</w:t>
      </w:r>
      <w:r>
        <w:rPr>
          <w:rFonts w:hint="eastAsia" w:asciiTheme="minorEastAsia" w:hAnsiTheme="minorEastAsia" w:eastAsiaTheme="minorEastAsia" w:cstheme="minorEastAsia"/>
          <w:color w:val="000000"/>
          <w:szCs w:val="21"/>
          <w:highlight w:val="none"/>
          <w:lang w:val="en-US" w:eastAsia="zh-CN"/>
        </w:rPr>
        <w:t>物业服务企业选择与社区餐饮供应商合作开展社区餐饮服务，宜实地实景评估供应商水平，签订合作合同，建立线上系统平台并实时接收和响应业主服务需求。</w:t>
      </w:r>
    </w:p>
    <w:p>
      <w:pPr>
        <w:numPr>
          <w:ilvl w:val="0"/>
          <w:numId w:val="0"/>
        </w:numPr>
        <w:spacing w:line="240" w:lineRule="auto"/>
        <w:ind w:right="56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lang w:val="en-US" w:eastAsia="zh-CN"/>
        </w:rPr>
        <w:t>b）</w:t>
      </w:r>
      <w:r>
        <w:rPr>
          <w:rFonts w:hint="eastAsia" w:asciiTheme="minorEastAsia" w:hAnsiTheme="minorEastAsia" w:eastAsiaTheme="minorEastAsia" w:cstheme="minorEastAsia"/>
          <w:color w:val="000000"/>
          <w:szCs w:val="21"/>
          <w:highlight w:val="none"/>
          <w:lang w:val="en-US" w:eastAsia="zh-CN"/>
        </w:rPr>
        <w:t>物业服务企业宜选择属地优质社区餐饮供应商进行合作，社区餐饮供应商要具备同行业合作经验，背景调查无负面信息。物业服务企业宜与社区餐饮供应商制定服务评价体系。</w:t>
      </w:r>
    </w:p>
    <w:p>
      <w:pPr>
        <w:numPr>
          <w:ilvl w:val="0"/>
          <w:numId w:val="0"/>
        </w:numPr>
        <w:spacing w:line="240" w:lineRule="auto"/>
        <w:ind w:right="56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lang w:val="en-US" w:eastAsia="zh-CN"/>
        </w:rPr>
        <w:t>c）</w:t>
      </w:r>
      <w:r>
        <w:rPr>
          <w:rFonts w:hint="eastAsia" w:asciiTheme="minorEastAsia" w:hAnsiTheme="minorEastAsia" w:eastAsiaTheme="minorEastAsia" w:cstheme="minorEastAsia"/>
          <w:color w:val="000000"/>
          <w:szCs w:val="21"/>
          <w:highlight w:val="none"/>
          <w:lang w:val="en-US" w:eastAsia="zh-CN"/>
        </w:rPr>
        <w:t>食材供应商应符合规定的流程，应严把食材质量关，形成源头采购、冷链配送、保鲜加工一体化服务。</w:t>
      </w:r>
    </w:p>
    <w:p>
      <w:pPr>
        <w:numPr>
          <w:ilvl w:val="0"/>
          <w:numId w:val="0"/>
        </w:numPr>
        <w:spacing w:line="240" w:lineRule="auto"/>
        <w:ind w:right="56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lang w:val="en-US" w:eastAsia="zh-CN"/>
        </w:rPr>
        <w:t>d）</w:t>
      </w:r>
      <w:r>
        <w:rPr>
          <w:rFonts w:hint="eastAsia" w:asciiTheme="minorEastAsia" w:hAnsiTheme="minorEastAsia" w:eastAsiaTheme="minorEastAsia" w:cstheme="minorEastAsia"/>
          <w:color w:val="000000"/>
          <w:szCs w:val="21"/>
          <w:highlight w:val="none"/>
          <w:lang w:val="en-US" w:eastAsia="zh-CN"/>
        </w:rPr>
        <w:t>应建立议事协商、形成共识的机制。所有的供应商、合作方、利益方定期围绕社区食堂的评估机制、菜品调整、服务内容、收费标准、服务质量、“负面清单”等形成共识。</w:t>
      </w:r>
    </w:p>
    <w:p>
      <w:pPr>
        <w:spacing w:line="240" w:lineRule="auto"/>
        <w:ind w:right="560"/>
        <w:rPr>
          <w:rFonts w:hint="eastAsia" w:ascii="黑体" w:hAnsi="黑体" w:eastAsia="黑体" w:cs="黑体"/>
          <w:b w:val="0"/>
          <w:bCs w:val="0"/>
          <w:color w:val="000000"/>
          <w:szCs w:val="21"/>
          <w:highlight w:val="none"/>
          <w:lang w:val="en-US" w:eastAsia="zh-CN"/>
        </w:rPr>
      </w:pPr>
      <w:r>
        <w:rPr>
          <w:rFonts w:hint="eastAsia" w:ascii="黑体" w:hAnsi="黑体" w:eastAsia="黑体" w:cs="黑体"/>
          <w:b w:val="0"/>
          <w:bCs w:val="0"/>
          <w:color w:val="000000"/>
          <w:szCs w:val="21"/>
          <w:highlight w:val="none"/>
          <w:lang w:val="en-US" w:eastAsia="zh-CN"/>
        </w:rPr>
        <w:t>7.3.4 自主经营</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7.3.4.1 物业服务企业自主经营社区餐饮业务，可结合自身情况，采用复合用工自营或专职用工自营模式；</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7.3.4.2 物业服务企业自主经营应建立合理、明确的社区餐饮服务相关制度文件，包括服务方案、管理标准、服务标准、岗位职责、监督检查标准、应急预案等。</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7.3.4.3 物业服务企业自主经营应制定培训计划，开展培训活动，对培训效果进行评价和改进。培训内容包括：</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a）制度文件内容；</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b）餐饮业务专业知识和技能；</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c）与顾客的沟通技巧；</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d）安全保护及应急处置方法。</w:t>
      </w:r>
    </w:p>
    <w:p>
      <w:pPr>
        <w:spacing w:line="240" w:lineRule="auto"/>
        <w:ind w:right="560"/>
        <w:rPr>
          <w:rFonts w:hint="eastAsia" w:ascii="黑体" w:hAnsi="黑体" w:eastAsia="黑体" w:cs="黑体"/>
          <w:b w:val="0"/>
          <w:bCs w:val="0"/>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7.3.4.4 物业服务企业自营社区餐饮业务专业技术人员应实行</w:t>
      </w:r>
      <w:r>
        <w:rPr>
          <w:rFonts w:hint="eastAsia" w:asciiTheme="minorEastAsia" w:hAnsiTheme="minorEastAsia" w:eastAsiaTheme="minorEastAsia" w:cstheme="minorEastAsia"/>
          <w:color w:val="000000"/>
          <w:szCs w:val="21"/>
          <w:highlight w:val="none"/>
          <w:lang w:val="en-US" w:eastAsia="zh-CN"/>
        </w:rPr>
        <w:t>认证上岗制，</w:t>
      </w:r>
      <w:r>
        <w:rPr>
          <w:rFonts w:hint="eastAsia" w:asciiTheme="minorEastAsia" w:hAnsiTheme="minorEastAsia" w:eastAsiaTheme="minorEastAsia" w:cstheme="minorEastAsia"/>
          <w:color w:val="000000"/>
          <w:szCs w:val="21"/>
          <w:highlight w:val="none"/>
          <w:lang w:val="en-US" w:eastAsia="zh-CN"/>
        </w:rPr>
        <w:t>应掌握餐饮业务专业知识和技能，取得相应培训合格证书。</w:t>
      </w:r>
    </w:p>
    <w:p>
      <w:pPr>
        <w:spacing w:line="600" w:lineRule="auto"/>
        <w:ind w:right="560"/>
        <w:outlineLvl w:val="1"/>
        <w:rPr>
          <w:rFonts w:hint="eastAsia" w:ascii="黑体" w:hAnsi="黑体" w:eastAsia="黑体" w:cs="黑体"/>
          <w:b w:val="0"/>
          <w:bCs w:val="0"/>
          <w:color w:val="FF0000"/>
          <w:szCs w:val="21"/>
        </w:rPr>
      </w:pPr>
      <w:r>
        <w:rPr>
          <w:rFonts w:hint="eastAsia" w:ascii="黑体" w:hAnsi="黑体" w:eastAsia="黑体" w:cs="黑体"/>
          <w:b w:val="0"/>
          <w:bCs w:val="0"/>
          <w:color w:val="auto"/>
          <w:szCs w:val="21"/>
          <w:lang w:val="en-US" w:eastAsia="zh-CN"/>
        </w:rPr>
        <w:t>7.4 家政</w:t>
      </w:r>
      <w:r>
        <w:rPr>
          <w:rFonts w:hint="eastAsia" w:ascii="黑体" w:hAnsi="黑体" w:eastAsia="黑体" w:cs="黑体"/>
          <w:b w:val="0"/>
          <w:bCs w:val="0"/>
          <w:color w:val="auto"/>
          <w:szCs w:val="21"/>
        </w:rPr>
        <w:t>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7.4.1服务内容</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家政服务按业主需求频次可分为高频服务和低频服务。高频服务包括卫生扫除、上门烹饪、绿化租摆、保姆服务、月嫂服务等项目；低频服务包括空调清洗、地板打蜡、石材养护、灯具清洁、收纳整理、窗帘清洗、软装除螨、空气治理等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7.4.2 规范经营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7.4.2.1  物业服务企业开展家政服务，应满足家政行业的经营资质需要，在企业营业执照中增加家政服务、居家服务、整理服务等家政关联的经营范围。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604A7B" w:themeColor="accent4" w:themeShade="BF"/>
          <w:sz w:val="21"/>
          <w:szCs w:val="21"/>
          <w:highlight w:val="none"/>
          <w:lang w:val="en-US" w:eastAsia="zh-CN"/>
        </w:rPr>
        <w:t xml:space="preserve">7.4.2.2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物业服务企业可根据属地相关规定，发展员工制家政，并将员工接入属地家政信用平台；若采取第三方劳务派遣模式，应与劳务方签订劳务派遣合同。</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textAlignment w:val="auto"/>
        <w:rPr>
          <w:rFonts w:hint="eastAsia" w:asciiTheme="minorEastAsia" w:hAnsiTheme="minorEastAsia" w:eastAsiaTheme="minorEastAsia" w:cstheme="minorEastAsia"/>
          <w:color w:val="604A7B" w:themeColor="accent4" w:themeShade="BF"/>
          <w:sz w:val="21"/>
          <w:szCs w:val="21"/>
          <w:highlight w:val="none"/>
          <w:lang w:val="en-US" w:eastAsia="zh-CN"/>
        </w:rPr>
      </w:pPr>
      <w:r>
        <w:rPr>
          <w:rFonts w:hint="eastAsia" w:asciiTheme="minorEastAsia" w:hAnsiTheme="minorEastAsia" w:eastAsiaTheme="minorEastAsia" w:cstheme="minorEastAsia"/>
          <w:kern w:val="2"/>
          <w:sz w:val="21"/>
          <w:szCs w:val="21"/>
          <w:lang w:val="en-US" w:eastAsia="zh-CN" w:bidi="ar-SA"/>
        </w:rPr>
        <w:t>7.4.2.3  物业服务企业提供长期家政服务宜与业主签订《家政服务合同》，约定服务项目、收费标准、服务标准等。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7</w:t>
      </w:r>
      <w:r>
        <w:rPr>
          <w:rFonts w:hint="eastAsia" w:ascii="黑体" w:hAnsi="黑体" w:eastAsia="黑体" w:cs="黑体"/>
          <w:b w:val="0"/>
          <w:bCs w:val="0"/>
          <w:sz w:val="21"/>
          <w:szCs w:val="21"/>
          <w:highlight w:val="none"/>
        </w:rPr>
        <w:t>.</w:t>
      </w:r>
      <w:r>
        <w:rPr>
          <w:rFonts w:hint="eastAsia" w:ascii="黑体" w:hAnsi="黑体" w:eastAsia="黑体" w:cs="黑体"/>
          <w:b w:val="0"/>
          <w:bCs w:val="0"/>
          <w:sz w:val="21"/>
          <w:szCs w:val="21"/>
          <w:highlight w:val="none"/>
          <w:lang w:val="en-US" w:eastAsia="zh-CN"/>
        </w:rPr>
        <w:t>4</w:t>
      </w:r>
      <w:r>
        <w:rPr>
          <w:rFonts w:hint="eastAsia" w:ascii="黑体" w:hAnsi="黑体" w:eastAsia="黑体" w:cs="黑体"/>
          <w:b w:val="0"/>
          <w:bCs w:val="0"/>
          <w:sz w:val="21"/>
          <w:szCs w:val="21"/>
          <w:highlight w:val="none"/>
        </w:rPr>
        <w:t>.</w:t>
      </w:r>
      <w:r>
        <w:rPr>
          <w:rFonts w:hint="eastAsia" w:ascii="黑体" w:hAnsi="黑体" w:eastAsia="黑体" w:cs="黑体"/>
          <w:b w:val="0"/>
          <w:bCs w:val="0"/>
          <w:sz w:val="21"/>
          <w:szCs w:val="21"/>
          <w:highlight w:val="none"/>
          <w:lang w:val="en-US" w:eastAsia="zh-CN"/>
        </w:rPr>
        <w:t>3 供应商选择</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黑体" w:hAnsi="黑体" w:eastAsia="黑体" w:cs="黑体"/>
          <w:b w:val="0"/>
          <w:bCs w:val="0"/>
          <w:sz w:val="21"/>
          <w:szCs w:val="21"/>
          <w:highlight w:val="none"/>
          <w:lang w:val="en-US" w:eastAsia="zh-CN"/>
        </w:rPr>
      </w:pPr>
      <w:r>
        <w:rPr>
          <w:rFonts w:hint="eastAsia" w:asciiTheme="minorEastAsia" w:hAnsiTheme="minorEastAsia" w:eastAsiaTheme="minorEastAsia" w:cstheme="minorEastAsia"/>
          <w:b w:val="0"/>
          <w:bCs w:val="0"/>
          <w:color w:val="000000"/>
          <w:szCs w:val="21"/>
          <w:lang w:val="en-US" w:eastAsia="zh-CN"/>
        </w:rPr>
        <w:t>建议物业服务企业在选择</w:t>
      </w:r>
      <w:r>
        <w:rPr>
          <w:rFonts w:hint="eastAsia" w:asciiTheme="minorEastAsia" w:hAnsiTheme="minorEastAsia" w:eastAsiaTheme="minorEastAsia" w:cstheme="minorEastAsia"/>
          <w:color w:val="000000"/>
          <w:szCs w:val="21"/>
          <w:highlight w:val="none"/>
          <w:lang w:val="en-US" w:eastAsia="zh-CN"/>
        </w:rPr>
        <w:t>家政业务</w:t>
      </w:r>
      <w:r>
        <w:rPr>
          <w:rFonts w:hint="eastAsia" w:asciiTheme="minorEastAsia" w:hAnsiTheme="minorEastAsia" w:eastAsiaTheme="minorEastAsia" w:cstheme="minorEastAsia"/>
          <w:color w:val="000000"/>
          <w:szCs w:val="21"/>
          <w:lang w:val="en-US" w:eastAsia="zh-CN"/>
        </w:rPr>
        <w:t>供应商之前宜考虑以下因素：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a)物业服务企业选择与家政供应商合作开展家政服务，宜实地实景评估供应商水平，签订合作合同，建立线上系统平台并实时接收和响应业主服务需求。</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b)物业服务企业宜选择属地优质家政供应商进行合作，家政供应商要具备同行业合作经验，背景调查无负面信息。物业服务企业宜与家政供应商制定服务评价体系。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7</w:t>
      </w:r>
      <w:r>
        <w:rPr>
          <w:rFonts w:hint="eastAsia" w:ascii="黑体" w:hAnsi="黑体" w:eastAsia="黑体" w:cs="黑体"/>
          <w:b w:val="0"/>
          <w:bCs w:val="0"/>
          <w:sz w:val="21"/>
          <w:szCs w:val="21"/>
          <w:highlight w:val="none"/>
        </w:rPr>
        <w:t>.</w:t>
      </w:r>
      <w:r>
        <w:rPr>
          <w:rFonts w:hint="eastAsia" w:ascii="黑体" w:hAnsi="黑体" w:eastAsia="黑体" w:cs="黑体"/>
          <w:b w:val="0"/>
          <w:bCs w:val="0"/>
          <w:sz w:val="21"/>
          <w:szCs w:val="21"/>
          <w:highlight w:val="none"/>
          <w:lang w:val="en-US" w:eastAsia="zh-CN"/>
        </w:rPr>
        <w:t>4</w:t>
      </w:r>
      <w:r>
        <w:rPr>
          <w:rFonts w:hint="eastAsia" w:ascii="黑体" w:hAnsi="黑体" w:eastAsia="黑体" w:cs="黑体"/>
          <w:b w:val="0"/>
          <w:bCs w:val="0"/>
          <w:sz w:val="21"/>
          <w:szCs w:val="21"/>
          <w:highlight w:val="none"/>
        </w:rPr>
        <w:t>.</w:t>
      </w:r>
      <w:r>
        <w:rPr>
          <w:rFonts w:hint="eastAsia" w:ascii="黑体" w:hAnsi="黑体" w:eastAsia="黑体" w:cs="黑体"/>
          <w:b w:val="0"/>
          <w:bCs w:val="0"/>
          <w:sz w:val="21"/>
          <w:szCs w:val="21"/>
          <w:highlight w:val="none"/>
          <w:lang w:val="en-US" w:eastAsia="zh-CN"/>
        </w:rPr>
        <w:t>4 自主经营</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7.4.4.1 物业服务企业自主经营家政业务，可结合自身情况，采用复合用工自营或专职用工自营模式；</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7.4.4.2 物业服务企业自主经营应建立合理、明确的家政服务相关制度文件，包括服务方案、管理标准、服务标准、岗位职责、监督检查标准、应急预案等。</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7.4.4.3 物业服务企业自主经营应制定培训计划，开展培训活动，对培训效果进行评价和改进。培训内容包括：</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a）制度文件内容；</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b）家政服务专业知识和技能；</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c）与顾客的沟通技巧；</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d）安全保护及应急处置方法。</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7.4.4.4 物业服务企业自营家政服务人员应实行认证上岗制，应掌握家政业务专业知识和技能，取得相应培训合格证书。</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val="0"/>
          <w:bCs w:val="0"/>
          <w:color w:val="000000"/>
          <w:szCs w:val="21"/>
        </w:rPr>
      </w:pPr>
      <w:r>
        <w:rPr>
          <w:rFonts w:hint="eastAsia" w:ascii="黑体" w:hAnsi="黑体" w:eastAsia="黑体" w:cs="黑体"/>
          <w:b w:val="0"/>
          <w:bCs w:val="0"/>
          <w:color w:val="000000"/>
          <w:szCs w:val="21"/>
          <w:lang w:val="en-US" w:eastAsia="zh-CN"/>
        </w:rPr>
        <w:t>7</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5  装饰装修</w:t>
      </w:r>
      <w:r>
        <w:rPr>
          <w:rFonts w:hint="eastAsia" w:ascii="黑体" w:hAnsi="黑体" w:eastAsia="黑体" w:cs="黑体"/>
          <w:b w:val="0"/>
          <w:bCs w:val="0"/>
          <w:color w:val="000000"/>
          <w:szCs w:val="21"/>
        </w:rPr>
        <w:t>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zCs w:val="21"/>
        </w:rPr>
      </w:pP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7.5.1服务内容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按业主装修更新范围可分为整体装饰装修、软装布局服务、局改装饰装修、微小装饰装修及单品快装等</w:t>
      </w: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7.5.2 规范经营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7.5.2.1 物业服务企业开展装饰装修服务，应满足装饰装修行业的经营资质需要，在企业营业执照中增加装饰装修经营范围，并办理建筑装修装饰工程资质。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7.5.2.2 物业服务企业提供装修装饰服务宜与业主签订《装修装饰服务合同》，约定服务项目、收费标准、服务标准等。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5</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3 供应商选择</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黑体" w:hAnsi="黑体" w:eastAsia="黑体" w:cs="黑体"/>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000000"/>
          <w:szCs w:val="21"/>
          <w:lang w:val="en-US" w:eastAsia="zh-CN"/>
        </w:rPr>
        <w:t>建议物业服务企业在选择</w:t>
      </w:r>
      <w:r>
        <w:rPr>
          <w:rFonts w:hint="eastAsia" w:asciiTheme="minorEastAsia" w:hAnsiTheme="minorEastAsia" w:eastAsiaTheme="minorEastAsia" w:cstheme="minorEastAsia"/>
          <w:color w:val="000000"/>
          <w:szCs w:val="21"/>
          <w:highlight w:val="none"/>
          <w:lang w:val="en-US" w:eastAsia="zh-CN"/>
        </w:rPr>
        <w:t>装饰装修业务</w:t>
      </w:r>
      <w:r>
        <w:rPr>
          <w:rFonts w:hint="eastAsia" w:asciiTheme="minorEastAsia" w:hAnsiTheme="minorEastAsia" w:eastAsiaTheme="minorEastAsia" w:cstheme="minorEastAsia"/>
          <w:color w:val="000000"/>
          <w:szCs w:val="21"/>
          <w:lang w:val="en-US" w:eastAsia="zh-CN"/>
        </w:rPr>
        <w:t>供应商之前宜考虑以下因素：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a)物业服务企业选择与供应商合作开展服务，宜实地实景评估供应商水平，签订合作合同，建立线上系统平台并实时接收</w:t>
      </w:r>
      <w:r>
        <w:rPr>
          <w:rFonts w:hint="eastAsia" w:asciiTheme="minorEastAsia" w:hAnsiTheme="minorEastAsia" w:eastAsiaTheme="minorEastAsia" w:cstheme="minorEastAsia"/>
          <w:kern w:val="2"/>
          <w:sz w:val="21"/>
          <w:szCs w:val="21"/>
          <w:lang w:val="en-US" w:eastAsia="zh-CN" w:bidi="ar-SA"/>
        </w:rPr>
        <w:t>和响应业主服务需求。</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b)物业服务企业宜选择属地优质供应商进行合作，供应商宜具备同物业行业合作经验，背景调查无负面信息。物业服务企业宜与供应商制定服务评价体系。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7.5.4 自主经营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7.5.4.1 物业服务企业开展局改</w:t>
      </w:r>
      <w:r>
        <w:rPr>
          <w:rFonts w:hint="eastAsia" w:asciiTheme="minorEastAsia" w:hAnsiTheme="minorEastAsia" w:eastAsiaTheme="minorEastAsia" w:cstheme="minorEastAsia"/>
          <w:kern w:val="2"/>
          <w:sz w:val="21"/>
          <w:szCs w:val="21"/>
          <w:highlight w:val="none"/>
          <w:lang w:val="en-US" w:eastAsia="zh-CN" w:bidi="ar-SA"/>
        </w:rPr>
        <w:t>装饰装修、微小装饰装修及单品快装业务，宜选择物业工程类员工复用，并建立复用报酬制度。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7.5.4.2 应建立《社区装饰装修服务流程及规范》，包括</w:t>
      </w:r>
      <w:r>
        <w:rPr>
          <w:rFonts w:hint="eastAsia" w:asciiTheme="minorEastAsia" w:hAnsiTheme="minorEastAsia" w:eastAsiaTheme="minorEastAsia" w:cstheme="minorEastAsia"/>
          <w:kern w:val="2"/>
          <w:sz w:val="21"/>
          <w:szCs w:val="21"/>
          <w:lang w:val="en-US" w:eastAsia="zh-CN" w:bidi="ar-SA"/>
        </w:rPr>
        <w:t>标准化工作要求、内部标准化组织的职责、标准工作流程、服务质量标准要求等。</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kern w:val="2"/>
          <w:sz w:val="21"/>
          <w:szCs w:val="21"/>
          <w:lang w:val="en-US" w:eastAsia="zh-CN" w:bidi="ar-SA"/>
        </w:rPr>
        <w:t xml:space="preserve">7.5.4.3 </w:t>
      </w:r>
      <w:r>
        <w:rPr>
          <w:rFonts w:hint="eastAsia" w:asciiTheme="minorEastAsia" w:hAnsiTheme="minorEastAsia" w:eastAsiaTheme="minorEastAsia" w:cstheme="minorEastAsia"/>
          <w:color w:val="000000"/>
          <w:szCs w:val="21"/>
          <w:highlight w:val="none"/>
          <w:lang w:val="en-US" w:eastAsia="zh-CN"/>
        </w:rPr>
        <w:t>物业服务企业自主经营应制定培训计划，开展培训活动，对培训效果进行评价和改进。培训内容包括：</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a）制度文件内容；</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b）家政服务专业知识和技能；</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c）与顾客的沟通技巧；</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d）安全保护及应急处置方法。</w:t>
      </w:r>
    </w:p>
    <w:p>
      <w:pPr>
        <w:numPr>
          <w:ilvl w:val="0"/>
          <w:numId w:val="0"/>
        </w:numPr>
        <w:spacing w:line="240" w:lineRule="auto"/>
        <w:ind w:right="560"/>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highlight w:val="none"/>
          <w:lang w:val="en-US" w:eastAsia="zh-CN"/>
        </w:rPr>
        <w:t>7.5.4.4 物业服务企业自营装饰装修业务人员应实行认证上岗制，应掌握装饰装修业务专业知识和技能，取得相应培训合格证书。</w:t>
      </w:r>
    </w:p>
    <w:p>
      <w:pPr>
        <w:spacing w:line="600" w:lineRule="auto"/>
        <w:ind w:right="560"/>
        <w:outlineLvl w:val="1"/>
        <w:rPr>
          <w:rFonts w:hint="eastAsia" w:ascii="黑体" w:hAnsi="黑体" w:eastAsia="黑体" w:cs="黑体"/>
          <w:b w:val="0"/>
          <w:bCs w:val="0"/>
          <w:color w:val="000000"/>
          <w:szCs w:val="21"/>
          <w:highlight w:val="none"/>
          <w:lang w:val="en-US" w:eastAsia="zh-CN"/>
        </w:rPr>
      </w:pPr>
      <w:r>
        <w:rPr>
          <w:rFonts w:hint="eastAsia" w:ascii="黑体" w:hAnsi="黑体" w:eastAsia="黑体" w:cs="黑体"/>
          <w:b w:val="0"/>
          <w:bCs w:val="0"/>
          <w:color w:val="000000"/>
          <w:szCs w:val="21"/>
          <w:highlight w:val="none"/>
          <w:lang w:val="en-US" w:eastAsia="zh-CN"/>
        </w:rPr>
        <w:t>7.6  房地产经纪服务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7.6.1服务内容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房地产经纪服务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可分为新房买卖、二手房买卖、车位买卖、商铺买卖、房屋租赁、产证交易、房屋托管、房屋包租等。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7.6.2 规范经营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7.6.2.1 物业服务企业开展房地产经纪服务，应在企业营业执照中增加房地产经纪经营范围；按经营属地规定，配备相应数量的房地产经纪专业人员；自领取营业执照之日起向所在地区主管部门备案。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7.6.2.3 物业服务企业应鼓励员工积极参加专业培训，获得《房地产经纪专业人员职业资格证书》。</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7.6.2.4 物业服务企业提供房地产经纪服务宜与业主签订《房屋买卖/租赁居间服务协议》，约定服务项目、服务周期、收费标准等。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7.6</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3 自主经营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7.6.3.1 物业服务企业自营房地产经纪业务，宜在社区空间中增加物业租售中心功能，提供专业服务。</w:t>
      </w:r>
      <w:r>
        <w:rPr>
          <w:rFonts w:hint="eastAsia" w:asciiTheme="minorEastAsia" w:hAnsiTheme="minorEastAsia" w:eastAsiaTheme="minorEastAsia" w:cstheme="minorEastAsia"/>
          <w:sz w:val="21"/>
          <w:szCs w:val="21"/>
          <w:lang w:val="en-US" w:eastAsia="zh-CN"/>
        </w:rPr>
        <w:t>在经营场所醒目位置公示房地产经纪备案信息。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lang w:val="en-US" w:eastAsia="zh-CN"/>
        </w:rPr>
        <w:t xml:space="preserve">7.6.3.2 </w:t>
      </w:r>
      <w:r>
        <w:rPr>
          <w:rFonts w:hint="eastAsia" w:asciiTheme="minorEastAsia" w:hAnsiTheme="minorEastAsia" w:eastAsiaTheme="minorEastAsia" w:cstheme="minorEastAsia"/>
          <w:b w:val="0"/>
          <w:bCs w:val="0"/>
          <w:color w:val="auto"/>
          <w:kern w:val="2"/>
          <w:sz w:val="21"/>
          <w:szCs w:val="21"/>
          <w:highlight w:val="none"/>
          <w:lang w:val="en-US" w:eastAsia="zh-CN" w:bidi="ar-SA"/>
        </w:rPr>
        <w:t>物业</w:t>
      </w:r>
      <w:r>
        <w:rPr>
          <w:rFonts w:hint="eastAsia" w:asciiTheme="minorEastAsia" w:hAnsiTheme="minorEastAsia" w:eastAsiaTheme="minorEastAsia" w:cstheme="minorEastAsia"/>
          <w:sz w:val="21"/>
          <w:szCs w:val="21"/>
        </w:rPr>
        <w:t>租售中心基于</w:t>
      </w:r>
      <w:r>
        <w:rPr>
          <w:rFonts w:hint="eastAsia" w:asciiTheme="minorEastAsia" w:hAnsiTheme="minorEastAsia" w:eastAsiaTheme="minorEastAsia" w:cstheme="minorEastAsia"/>
          <w:sz w:val="21"/>
          <w:szCs w:val="21"/>
          <w:lang w:val="en-US" w:eastAsia="zh-CN"/>
        </w:rPr>
        <w:t>所在</w:t>
      </w:r>
      <w:r>
        <w:rPr>
          <w:rFonts w:hint="eastAsia" w:asciiTheme="minorEastAsia" w:hAnsiTheme="minorEastAsia" w:eastAsiaTheme="minorEastAsia" w:cstheme="minorEastAsia"/>
          <w:sz w:val="21"/>
          <w:szCs w:val="21"/>
        </w:rPr>
        <w:t>城市、项目特点可分为独立门店和无门店模式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独立门店</w:t>
      </w:r>
      <w:r>
        <w:rPr>
          <w:rFonts w:hint="eastAsia" w:asciiTheme="minorEastAsia" w:hAnsiTheme="minorEastAsia" w:eastAsiaTheme="minorEastAsia" w:cstheme="minorEastAsia"/>
          <w:sz w:val="21"/>
          <w:szCs w:val="21"/>
          <w:lang w:val="en-US" w:eastAsia="zh-CN"/>
        </w:rPr>
        <w:t>可在所属项目区域内设立并悬挂门头，设立办公和接待区域；</w:t>
      </w:r>
      <w:r>
        <w:rPr>
          <w:rFonts w:hint="eastAsia" w:asciiTheme="minorEastAsia" w:hAnsiTheme="minorEastAsia" w:eastAsiaTheme="minorEastAsia" w:cstheme="minorEastAsia"/>
          <w:sz w:val="21"/>
          <w:szCs w:val="21"/>
        </w:rPr>
        <w:t>无门店</w:t>
      </w:r>
      <w:r>
        <w:rPr>
          <w:rFonts w:hint="eastAsia" w:asciiTheme="minorEastAsia" w:hAnsiTheme="minorEastAsia" w:eastAsiaTheme="minorEastAsia" w:cstheme="minorEastAsia"/>
          <w:sz w:val="21"/>
          <w:szCs w:val="21"/>
          <w:lang w:val="en-US" w:eastAsia="zh-CN"/>
        </w:rPr>
        <w:t>模</w:t>
      </w:r>
      <w:r>
        <w:rPr>
          <w:rFonts w:hint="eastAsia" w:asciiTheme="minorEastAsia" w:hAnsiTheme="minorEastAsia" w:eastAsiaTheme="minorEastAsia" w:cstheme="minorEastAsia"/>
          <w:sz w:val="21"/>
          <w:szCs w:val="21"/>
          <w:highlight w:val="none"/>
          <w:lang w:val="en-US" w:eastAsia="zh-CN"/>
        </w:rPr>
        <w:t>式可</w:t>
      </w:r>
      <w:r>
        <w:rPr>
          <w:rFonts w:hint="eastAsia" w:asciiTheme="minorEastAsia" w:hAnsiTheme="minorEastAsia" w:eastAsiaTheme="minorEastAsia" w:cstheme="minorEastAsia"/>
          <w:sz w:val="21"/>
          <w:szCs w:val="21"/>
          <w:highlight w:val="none"/>
        </w:rPr>
        <w:t>在物业服务中心内嵌入</w:t>
      </w:r>
      <w:r>
        <w:rPr>
          <w:rFonts w:hint="eastAsia" w:asciiTheme="minorEastAsia" w:hAnsiTheme="minorEastAsia" w:eastAsiaTheme="minorEastAsia" w:cstheme="minorEastAsia"/>
          <w:sz w:val="21"/>
          <w:szCs w:val="21"/>
          <w:highlight w:val="none"/>
          <w:lang w:val="en-US" w:eastAsia="zh-CN"/>
        </w:rPr>
        <w:t>租售</w:t>
      </w:r>
      <w:r>
        <w:rPr>
          <w:rFonts w:hint="eastAsia" w:asciiTheme="minorEastAsia" w:hAnsiTheme="minorEastAsia" w:eastAsiaTheme="minorEastAsia" w:cstheme="minorEastAsia"/>
          <w:sz w:val="21"/>
          <w:szCs w:val="21"/>
          <w:highlight w:val="none"/>
        </w:rPr>
        <w:t>业务</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lang w:val="en-US" w:eastAsia="zh-CN"/>
        </w:rPr>
        <w:t xml:space="preserve">7.6.3.3 </w:t>
      </w:r>
      <w:r>
        <w:rPr>
          <w:rFonts w:hint="eastAsia" w:asciiTheme="minorEastAsia" w:hAnsiTheme="minorEastAsia" w:eastAsiaTheme="minorEastAsia" w:cstheme="minorEastAsia"/>
          <w:b w:val="0"/>
          <w:bCs w:val="0"/>
          <w:color w:val="auto"/>
          <w:kern w:val="2"/>
          <w:sz w:val="21"/>
          <w:szCs w:val="21"/>
          <w:highlight w:val="none"/>
          <w:lang w:val="en-US" w:eastAsia="zh-CN" w:bidi="ar-SA"/>
        </w:rPr>
        <w:t>物业服务企业可</w:t>
      </w:r>
      <w:r>
        <w:rPr>
          <w:rFonts w:hint="eastAsia" w:asciiTheme="minorEastAsia" w:hAnsiTheme="minorEastAsia" w:eastAsiaTheme="minorEastAsia" w:cstheme="minorEastAsia"/>
          <w:sz w:val="21"/>
          <w:szCs w:val="21"/>
          <w:highlight w:val="none"/>
        </w:rPr>
        <w:t>结合</w:t>
      </w:r>
      <w:r>
        <w:rPr>
          <w:rFonts w:hint="eastAsia" w:asciiTheme="minorEastAsia" w:hAnsiTheme="minorEastAsia" w:eastAsiaTheme="minorEastAsia" w:cstheme="minorEastAsia"/>
          <w:b w:val="0"/>
          <w:bCs w:val="0"/>
          <w:color w:val="auto"/>
          <w:kern w:val="2"/>
          <w:sz w:val="21"/>
          <w:szCs w:val="21"/>
          <w:highlight w:val="none"/>
          <w:lang w:val="en-US" w:eastAsia="zh-CN" w:bidi="ar-SA"/>
        </w:rPr>
        <w:t>房地产经纪业务的要求制定《业务管理流程及规范》，包括业务流程管理、价格管理、门店管理、人员管理、薪酬激励管理、考核管理、经纪文件管理、房客源管理等。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 xml:space="preserve">7.6.3.4 </w:t>
      </w:r>
      <w:r>
        <w:rPr>
          <w:rFonts w:hint="eastAsia" w:asciiTheme="minorEastAsia" w:hAnsiTheme="minorEastAsia" w:eastAsiaTheme="minorEastAsia" w:cstheme="minorEastAsia"/>
          <w:b w:val="0"/>
          <w:bCs w:val="0"/>
          <w:color w:val="auto"/>
          <w:kern w:val="2"/>
          <w:sz w:val="21"/>
          <w:szCs w:val="21"/>
          <w:highlight w:val="none"/>
          <w:lang w:val="en-US" w:eastAsia="zh-CN" w:bidi="ar-SA"/>
        </w:rPr>
        <w:t>物业服务企业应积极发挥管理区域优势，有效建立房客源链接，并将其进行转换以促成交易。链接方式</w:t>
      </w:r>
      <w:r>
        <w:rPr>
          <w:rFonts w:hint="eastAsia" w:asciiTheme="minorEastAsia" w:hAnsiTheme="minorEastAsia" w:eastAsiaTheme="minorEastAsia" w:cstheme="minorEastAsia"/>
          <w:sz w:val="21"/>
          <w:szCs w:val="21"/>
        </w:rPr>
        <w:t>包括</w:t>
      </w:r>
      <w:r>
        <w:rPr>
          <w:rFonts w:hint="eastAsia" w:asciiTheme="minorEastAsia" w:hAnsiTheme="minorEastAsia" w:eastAsiaTheme="minorEastAsia" w:cstheme="minorEastAsia"/>
          <w:sz w:val="21"/>
          <w:szCs w:val="21"/>
          <w:lang w:val="en-US" w:eastAsia="zh-CN"/>
        </w:rPr>
        <w:t>园区触点广告、</w:t>
      </w:r>
      <w:r>
        <w:rPr>
          <w:rFonts w:hint="eastAsia" w:asciiTheme="minorEastAsia" w:hAnsiTheme="minorEastAsia" w:eastAsiaTheme="minorEastAsia" w:cstheme="minorEastAsia"/>
          <w:sz w:val="21"/>
          <w:szCs w:val="21"/>
        </w:rPr>
        <w:t>主动询问、门岗登记、管家报盘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业主服务以及朋友圈</w:t>
      </w:r>
      <w:r>
        <w:rPr>
          <w:rFonts w:hint="eastAsia" w:asciiTheme="minorEastAsia" w:hAnsiTheme="minorEastAsia" w:eastAsiaTheme="minorEastAsia" w:cstheme="minorEastAsia"/>
          <w:sz w:val="21"/>
          <w:szCs w:val="21"/>
        </w:rPr>
        <w:t>等方式</w:t>
      </w:r>
      <w:r>
        <w:rPr>
          <w:rFonts w:hint="eastAsia" w:asciiTheme="minorEastAsia" w:hAnsiTheme="minorEastAsia" w:eastAsiaTheme="minorEastAsia" w:cstheme="minorEastAsia"/>
          <w:sz w:val="21"/>
          <w:szCs w:val="21"/>
          <w:lang w:eastAsia="zh-CN"/>
        </w:rPr>
        <w:t>。</w:t>
      </w:r>
    </w:p>
    <w:p>
      <w:pPr>
        <w:spacing w:line="240" w:lineRule="auto"/>
        <w:ind w:right="560"/>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7.6.3.5 </w:t>
      </w:r>
      <w:r>
        <w:rPr>
          <w:rFonts w:hint="eastAsia" w:asciiTheme="minorEastAsia" w:hAnsiTheme="minorEastAsia" w:eastAsiaTheme="minorEastAsia" w:cstheme="minorEastAsia"/>
          <w:b w:val="0"/>
          <w:bCs w:val="0"/>
          <w:color w:val="auto"/>
          <w:kern w:val="2"/>
          <w:sz w:val="21"/>
          <w:szCs w:val="21"/>
          <w:highlight w:val="none"/>
          <w:lang w:val="en-US" w:eastAsia="zh-CN" w:bidi="ar-SA"/>
        </w:rPr>
        <w:t>物业服务企业可提供房地产经纪业务延伸服务，包括</w:t>
      </w:r>
      <w:r>
        <w:rPr>
          <w:rFonts w:hint="eastAsia" w:asciiTheme="minorEastAsia" w:hAnsiTheme="minorEastAsia" w:eastAsiaTheme="minorEastAsia" w:cstheme="minorEastAsia"/>
          <w:sz w:val="21"/>
          <w:szCs w:val="21"/>
          <w:lang w:val="en-US" w:eastAsia="zh-CN"/>
        </w:rPr>
        <w:t>新业主入住后的代办车位登记、物业信息录入、续租免费签约等服务。可将装饰装修、家政服务、社区养老等服务内容进行多元化融合链接。</w:t>
      </w:r>
    </w:p>
    <w:p>
      <w:pPr>
        <w:numPr>
          <w:ilvl w:val="0"/>
          <w:numId w:val="0"/>
        </w:numPr>
        <w:spacing w:line="240" w:lineRule="auto"/>
        <w:ind w:right="560" w:rightChars="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kern w:val="2"/>
          <w:sz w:val="21"/>
          <w:szCs w:val="21"/>
          <w:lang w:val="en-US" w:eastAsia="zh-CN" w:bidi="ar-SA"/>
        </w:rPr>
        <w:t>7.6.3.6</w:t>
      </w:r>
      <w:r>
        <w:rPr>
          <w:rFonts w:hint="eastAsia" w:asciiTheme="minorEastAsia" w:hAnsiTheme="minorEastAsia" w:eastAsiaTheme="minorEastAsia" w:cstheme="minorEastAsia"/>
          <w:color w:val="000000"/>
          <w:szCs w:val="21"/>
          <w:highlight w:val="none"/>
          <w:lang w:val="en-US" w:eastAsia="zh-CN"/>
        </w:rPr>
        <w:t xml:space="preserve"> 物业服务企业自主经营</w:t>
      </w:r>
      <w:r>
        <w:rPr>
          <w:rFonts w:hint="eastAsia" w:asciiTheme="minorEastAsia" w:hAnsiTheme="minorEastAsia" w:eastAsiaTheme="minorEastAsia" w:cstheme="minorEastAsia"/>
          <w:b w:val="0"/>
          <w:bCs w:val="0"/>
          <w:color w:val="auto"/>
          <w:kern w:val="2"/>
          <w:sz w:val="21"/>
          <w:szCs w:val="21"/>
          <w:highlight w:val="none"/>
          <w:lang w:val="en-US" w:eastAsia="zh-CN" w:bidi="ar-SA"/>
        </w:rPr>
        <w:t>房地产经纪</w:t>
      </w:r>
      <w:r>
        <w:rPr>
          <w:rFonts w:hint="eastAsia" w:asciiTheme="minorEastAsia" w:hAnsiTheme="minorEastAsia" w:eastAsiaTheme="minorEastAsia" w:cstheme="minorEastAsia"/>
          <w:color w:val="000000"/>
          <w:szCs w:val="21"/>
          <w:highlight w:val="none"/>
          <w:lang w:val="en-US" w:eastAsia="zh-CN"/>
        </w:rPr>
        <w:t>业务应制定培训计划，开展培训活动，对培训效果进行评价和改进。培训内容包括：</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a）制度文件内容；</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b）家政服务专业知识和技能；</w:t>
      </w:r>
    </w:p>
    <w:p>
      <w:pPr>
        <w:numPr>
          <w:ilvl w:val="0"/>
          <w:numId w:val="0"/>
        </w:numPr>
        <w:spacing w:line="240" w:lineRule="auto"/>
        <w:ind w:right="0" w:rightChars="0" w:firstLine="420" w:firstLineChars="200"/>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c）与顾客的沟通技巧；</w:t>
      </w:r>
    </w:p>
    <w:p>
      <w:pPr>
        <w:spacing w:line="240" w:lineRule="auto"/>
        <w:ind w:right="560" w:firstLine="420" w:firstLineChars="200"/>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Cs w:val="21"/>
          <w:highlight w:val="none"/>
          <w:lang w:val="en-US" w:eastAsia="zh-CN"/>
        </w:rPr>
        <w:t>d）安全保护及应急处置方法。</w:t>
      </w:r>
    </w:p>
    <w:p>
      <w:pPr>
        <w:spacing w:line="600" w:lineRule="auto"/>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7</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7</w:t>
      </w:r>
      <w:r>
        <w:rPr>
          <w:rFonts w:hint="eastAsia" w:ascii="黑体" w:hAnsi="黑体" w:eastAsia="黑体" w:cs="黑体"/>
          <w:b w:val="0"/>
          <w:bCs w:val="0"/>
          <w:color w:val="000000"/>
          <w:szCs w:val="21"/>
        </w:rPr>
        <w:t xml:space="preserve">  </w:t>
      </w:r>
      <w:r>
        <w:rPr>
          <w:rFonts w:hint="eastAsia" w:ascii="黑体" w:hAnsi="黑体" w:eastAsia="黑体" w:cs="黑体"/>
          <w:b w:val="0"/>
          <w:bCs w:val="0"/>
          <w:color w:val="000000"/>
          <w:szCs w:val="21"/>
          <w:lang w:val="en-US" w:eastAsia="zh-CN"/>
        </w:rPr>
        <w:t>社区</w:t>
      </w:r>
      <w:r>
        <w:rPr>
          <w:rFonts w:hint="eastAsia" w:ascii="黑体" w:hAnsi="黑体" w:eastAsia="黑体" w:cs="黑体"/>
          <w:b w:val="0"/>
          <w:bCs w:val="0"/>
          <w:color w:val="000000"/>
          <w:szCs w:val="21"/>
        </w:rPr>
        <w:t>零售</w:t>
      </w:r>
      <w:r>
        <w:rPr>
          <w:rFonts w:hint="eastAsia" w:ascii="黑体" w:hAnsi="黑体" w:eastAsia="黑体" w:cs="黑体"/>
          <w:b w:val="0"/>
          <w:bCs w:val="0"/>
          <w:color w:val="000000"/>
          <w:szCs w:val="21"/>
          <w:lang w:val="en-US" w:eastAsia="zh-CN"/>
        </w:rPr>
        <w:t>服务</w:t>
      </w:r>
    </w:p>
    <w:p>
      <w:pPr>
        <w:spacing w:line="240" w:lineRule="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.1</w:t>
      </w:r>
      <w:r>
        <w:rPr>
          <w:rFonts w:hint="eastAsia" w:ascii="黑体" w:hAnsi="黑体" w:eastAsia="黑体" w:cs="黑体"/>
          <w:b w:val="0"/>
          <w:bCs w:val="0"/>
          <w:color w:val="auto"/>
          <w:sz w:val="21"/>
          <w:szCs w:val="21"/>
          <w:highlight w:val="none"/>
          <w:lang w:val="en-US" w:eastAsia="zh-CN"/>
        </w:rPr>
        <w:t xml:space="preserve"> </w:t>
      </w:r>
      <w:r>
        <w:rPr>
          <w:rFonts w:hint="eastAsia" w:ascii="黑体" w:hAnsi="黑体" w:eastAsia="黑体" w:cs="黑体"/>
          <w:b w:val="0"/>
          <w:bCs w:val="0"/>
          <w:color w:val="auto"/>
          <w:sz w:val="21"/>
          <w:szCs w:val="21"/>
          <w:highlight w:val="none"/>
        </w:rPr>
        <w:t>服务内容</w:t>
      </w:r>
    </w:p>
    <w:p>
      <w:pPr>
        <w:spacing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社区零售服务通常包括</w:t>
      </w:r>
      <w:r>
        <w:rPr>
          <w:rFonts w:hint="eastAsia" w:asciiTheme="minorEastAsia" w:hAnsiTheme="minorEastAsia" w:eastAsiaTheme="minorEastAsia" w:cstheme="minorEastAsia"/>
          <w:color w:val="auto"/>
          <w:sz w:val="21"/>
          <w:szCs w:val="21"/>
        </w:rPr>
        <w:t>生鲜农副产品、节日节气应季产品、礼卡礼盒商务产品、居家日化用品等</w:t>
      </w:r>
      <w:r>
        <w:rPr>
          <w:rFonts w:hint="eastAsia" w:asciiTheme="minorEastAsia" w:hAnsiTheme="minorEastAsia" w:eastAsiaTheme="minorEastAsia" w:cstheme="minorEastAsia"/>
          <w:color w:val="auto"/>
          <w:sz w:val="21"/>
          <w:szCs w:val="21"/>
          <w:lang w:eastAsia="zh-CN"/>
        </w:rPr>
        <w:t>商品的销售服务</w:t>
      </w:r>
      <w:r>
        <w:rPr>
          <w:rFonts w:hint="eastAsia" w:asciiTheme="minorEastAsia" w:hAnsiTheme="minorEastAsia" w:eastAsiaTheme="minorEastAsia" w:cstheme="minorEastAsia"/>
          <w:color w:val="auto"/>
          <w:sz w:val="21"/>
          <w:szCs w:val="21"/>
        </w:rPr>
        <w:t>。</w:t>
      </w:r>
    </w:p>
    <w:p>
      <w:pPr>
        <w:spacing w:line="240" w:lineRule="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7.7.2 规范经营</w:t>
      </w:r>
    </w:p>
    <w:p>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sz w:val="21"/>
          <w:szCs w:val="21"/>
          <w:lang w:val="en-US" w:eastAsia="zh-CN"/>
        </w:rPr>
        <w:t>物业服务企业开展社区零售服务，应满足零售行业的经营资质需要，在企业营业执照中增加商品销售等经营范围，并办理食品流通许可证等资质证书。</w:t>
      </w: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xml:space="preserve"> 物业服务企业如长期</w:t>
      </w:r>
      <w:r>
        <w:rPr>
          <w:rFonts w:hint="eastAsia" w:asciiTheme="minorEastAsia" w:hAnsiTheme="minorEastAsia" w:eastAsiaTheme="minorEastAsia" w:cstheme="minorEastAsia"/>
          <w:color w:val="auto"/>
          <w:sz w:val="21"/>
          <w:szCs w:val="21"/>
          <w:lang w:val="en-US" w:eastAsia="zh-CN"/>
        </w:rPr>
        <w:t>为业主</w:t>
      </w:r>
      <w:r>
        <w:rPr>
          <w:rFonts w:hint="eastAsia" w:asciiTheme="minorEastAsia" w:hAnsiTheme="minorEastAsia" w:eastAsiaTheme="minorEastAsia" w:cstheme="minorEastAsia"/>
          <w:color w:val="auto"/>
          <w:sz w:val="21"/>
          <w:szCs w:val="21"/>
        </w:rPr>
        <w:t>提供</w:t>
      </w:r>
      <w:r>
        <w:rPr>
          <w:rFonts w:hint="eastAsia" w:asciiTheme="minorEastAsia" w:hAnsiTheme="minorEastAsia" w:eastAsiaTheme="minorEastAsia" w:cstheme="minorEastAsia"/>
          <w:color w:val="auto"/>
          <w:sz w:val="21"/>
          <w:szCs w:val="21"/>
          <w:lang w:val="en-US" w:eastAsia="zh-CN"/>
        </w:rPr>
        <w:t>商品</w:t>
      </w:r>
      <w:r>
        <w:rPr>
          <w:rFonts w:hint="eastAsia" w:asciiTheme="minorEastAsia" w:hAnsiTheme="minorEastAsia" w:eastAsiaTheme="minorEastAsia" w:cstheme="minorEastAsia"/>
          <w:color w:val="auto"/>
          <w:sz w:val="21"/>
          <w:szCs w:val="21"/>
        </w:rPr>
        <w:t>配送</w:t>
      </w:r>
      <w:r>
        <w:rPr>
          <w:rFonts w:hint="eastAsia" w:asciiTheme="minorEastAsia" w:hAnsiTheme="minorEastAsia" w:eastAsiaTheme="minorEastAsia" w:cstheme="minorEastAsia"/>
          <w:color w:val="auto"/>
          <w:sz w:val="21"/>
          <w:szCs w:val="21"/>
          <w:lang w:val="en-US" w:eastAsia="zh-CN"/>
        </w:rPr>
        <w:t>服</w:t>
      </w:r>
      <w:r>
        <w:rPr>
          <w:rFonts w:hint="eastAsia" w:asciiTheme="minorEastAsia" w:hAnsiTheme="minorEastAsia" w:eastAsiaTheme="minorEastAsia" w:cstheme="minorEastAsia"/>
          <w:color w:val="auto"/>
          <w:sz w:val="21"/>
          <w:szCs w:val="21"/>
        </w:rPr>
        <w:t>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应与业主签订《商品配送服务协议》，约定好配送周期、产品价格、产品质量、售后保障等服务细节。</w:t>
      </w:r>
    </w:p>
    <w:p>
      <w:pPr>
        <w:spacing w:line="240" w:lineRule="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7</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3</w:t>
      </w:r>
      <w:r>
        <w:rPr>
          <w:rFonts w:hint="eastAsia" w:ascii="黑体" w:hAnsi="黑体" w:eastAsia="黑体" w:cs="黑体"/>
          <w:b w:val="0"/>
          <w:bCs w:val="0"/>
          <w:color w:val="auto"/>
          <w:sz w:val="21"/>
          <w:szCs w:val="21"/>
          <w:highlight w:val="none"/>
        </w:rPr>
        <w:t xml:space="preserve"> 供应商选择</w:t>
      </w:r>
    </w:p>
    <w:p>
      <w:pPr>
        <w:spacing w:line="240" w:lineRule="auto"/>
        <w:ind w:firstLine="420" w:firstLineChars="200"/>
        <w:rPr>
          <w:rFonts w:hint="eastAsia" w:ascii="黑体" w:hAnsi="黑体" w:eastAsia="黑体" w:cs="黑体"/>
          <w:b w:val="0"/>
          <w:bCs w:val="0"/>
          <w:color w:val="auto"/>
          <w:sz w:val="21"/>
          <w:szCs w:val="21"/>
          <w:highlight w:val="none"/>
        </w:rPr>
      </w:pPr>
      <w:r>
        <w:rPr>
          <w:rFonts w:hint="eastAsia" w:asciiTheme="minorEastAsia" w:hAnsiTheme="minorEastAsia" w:eastAsiaTheme="minorEastAsia" w:cstheme="minorEastAsia"/>
          <w:b w:val="0"/>
          <w:bCs w:val="0"/>
          <w:color w:val="000000"/>
          <w:szCs w:val="21"/>
          <w:lang w:val="en-US" w:eastAsia="zh-CN"/>
        </w:rPr>
        <w:t>建议物业服务企业在选择</w:t>
      </w:r>
      <w:r>
        <w:rPr>
          <w:rFonts w:hint="eastAsia" w:asciiTheme="minorEastAsia" w:hAnsiTheme="minorEastAsia" w:eastAsiaTheme="minorEastAsia" w:cstheme="minorEastAsia"/>
          <w:color w:val="000000"/>
          <w:szCs w:val="21"/>
          <w:highlight w:val="none"/>
          <w:lang w:val="en-US" w:eastAsia="zh-CN"/>
        </w:rPr>
        <w:t>社区零售业务</w:t>
      </w:r>
      <w:r>
        <w:rPr>
          <w:rFonts w:hint="eastAsia" w:asciiTheme="minorEastAsia" w:hAnsiTheme="minorEastAsia" w:eastAsiaTheme="minorEastAsia" w:cstheme="minorEastAsia"/>
          <w:color w:val="000000"/>
          <w:szCs w:val="21"/>
          <w:lang w:val="en-US" w:eastAsia="zh-CN"/>
        </w:rPr>
        <w:t>供应商之前宜考虑以下因素：</w:t>
      </w:r>
    </w:p>
    <w:p>
      <w:pPr>
        <w:pStyle w:val="12"/>
        <w:spacing w:line="24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rPr>
        <w:t>在中华人民共和国境内依法注册、具有独立法人资格、具备相关资质管理要求的专业公司。</w:t>
      </w:r>
    </w:p>
    <w:p>
      <w:pPr>
        <w:pStyle w:val="12"/>
        <w:spacing w:line="24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t>有健全的财务制度和良好的商业信誉。</w:t>
      </w:r>
    </w:p>
    <w:p>
      <w:pPr>
        <w:pStyle w:val="12"/>
        <w:spacing w:line="24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t>具有依法缴纳税收的良好记录。</w:t>
      </w:r>
    </w:p>
    <w:p>
      <w:pPr>
        <w:pStyle w:val="12"/>
        <w:spacing w:line="24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d)</w:t>
      </w:r>
      <w:r>
        <w:rPr>
          <w:rFonts w:hint="eastAsia" w:asciiTheme="minorEastAsia" w:hAnsiTheme="minorEastAsia" w:eastAsiaTheme="minorEastAsia" w:cstheme="minorEastAsia"/>
          <w:color w:val="auto"/>
          <w:sz w:val="21"/>
          <w:szCs w:val="21"/>
        </w:rPr>
        <w:t>近一年经营活动中没有因自身原因违约或履约引起的合同终止、纠纷、争议、仲裁和诉讼记录。</w:t>
      </w:r>
    </w:p>
    <w:p>
      <w:pPr>
        <w:pStyle w:val="12"/>
        <w:spacing w:line="24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服务或产品在社会上无负面新闻报道，无政府监管不良记录。</w:t>
      </w:r>
    </w:p>
    <w:p>
      <w:pPr>
        <w:pStyle w:val="12"/>
        <w:spacing w:line="600" w:lineRule="auto"/>
        <w:ind w:left="0" w:leftChars="0" w:firstLine="0" w:firstLineChars="0"/>
        <w:rPr>
          <w:rFonts w:hint="eastAsia" w:ascii="黑体" w:hAnsi="黑体" w:eastAsia="黑体" w:cs="黑体"/>
          <w:color w:val="auto"/>
          <w:sz w:val="21"/>
          <w:szCs w:val="21"/>
          <w:lang w:eastAsia="zh-CN"/>
        </w:rPr>
      </w:pPr>
      <w:r>
        <w:rPr>
          <w:rFonts w:hint="eastAsia" w:ascii="黑体" w:hAnsi="黑体" w:eastAsia="黑体" w:cs="黑体"/>
          <w:color w:val="auto"/>
          <w:sz w:val="21"/>
          <w:szCs w:val="21"/>
        </w:rPr>
        <w:t>7.8 有害生物防</w:t>
      </w:r>
      <w:r>
        <w:rPr>
          <w:rFonts w:hint="eastAsia" w:ascii="黑体" w:hAnsi="黑体" w:eastAsia="黑体" w:cs="黑体"/>
          <w:color w:val="auto"/>
          <w:sz w:val="21"/>
          <w:szCs w:val="21"/>
          <w:lang w:val="en-US" w:eastAsia="zh-CN"/>
        </w:rPr>
        <w:t>制</w:t>
      </w:r>
    </w:p>
    <w:p>
      <w:pPr>
        <w:pStyle w:val="12"/>
        <w:spacing w:line="240" w:lineRule="auto"/>
        <w:ind w:left="0" w:leftChars="0" w:firstLine="0" w:firstLineChars="0"/>
        <w:rPr>
          <w:rFonts w:hint="eastAsia" w:ascii="黑体" w:hAnsi="黑体" w:eastAsia="黑体" w:cs="黑体"/>
          <w:color w:val="auto"/>
          <w:sz w:val="21"/>
          <w:szCs w:val="21"/>
        </w:rPr>
      </w:pPr>
      <w:r>
        <w:rPr>
          <w:rFonts w:hint="eastAsia" w:ascii="黑体" w:hAnsi="黑体" w:eastAsia="黑体" w:cs="黑体"/>
          <w:color w:val="auto"/>
          <w:sz w:val="21"/>
          <w:szCs w:val="21"/>
        </w:rPr>
        <w:t>7.8.1服务内容</w:t>
      </w:r>
    </w:p>
    <w:p>
      <w:pPr>
        <w:pStyle w:val="12"/>
        <w:spacing w:line="24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7.8.1.2 </w:t>
      </w:r>
      <w:r>
        <w:rPr>
          <w:rFonts w:hint="eastAsia" w:asciiTheme="minorEastAsia" w:hAnsiTheme="minorEastAsia" w:eastAsiaTheme="minorEastAsia" w:cstheme="minorEastAsia"/>
          <w:color w:val="auto"/>
          <w:sz w:val="21"/>
          <w:szCs w:val="21"/>
          <w:lang w:eastAsia="zh-CN"/>
        </w:rPr>
        <w:t>有害生物防制包括有</w:t>
      </w:r>
      <w:r>
        <w:rPr>
          <w:rFonts w:hint="eastAsia" w:asciiTheme="minorEastAsia" w:hAnsiTheme="minorEastAsia" w:eastAsiaTheme="minorEastAsia" w:cstheme="minorEastAsia"/>
          <w:color w:val="auto"/>
          <w:sz w:val="21"/>
          <w:szCs w:val="21"/>
        </w:rPr>
        <w:t>害生物现场防制服务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日常预防性消毒服务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疫源地消毒服务</w:t>
      </w:r>
      <w:r>
        <w:rPr>
          <w:rFonts w:hint="eastAsia" w:asciiTheme="minorEastAsia" w:hAnsiTheme="minorEastAsia" w:eastAsiaTheme="minorEastAsia" w:cstheme="minorEastAsia"/>
          <w:color w:val="auto"/>
          <w:sz w:val="21"/>
          <w:szCs w:val="21"/>
          <w:lang w:eastAsia="zh-CN"/>
        </w:rPr>
        <w:t>等内容</w:t>
      </w:r>
      <w:r>
        <w:rPr>
          <w:rFonts w:hint="eastAsia" w:asciiTheme="minorEastAsia" w:hAnsiTheme="minorEastAsia" w:eastAsiaTheme="minorEastAsia" w:cstheme="minorEastAsia"/>
          <w:color w:val="auto"/>
          <w:sz w:val="21"/>
          <w:szCs w:val="21"/>
        </w:rPr>
        <w:t>。按照防制服务类型可分为有害生物预防性防制服务，孳生环境治理服务，有害生物侵入风险点排查及评估服务，有害生物预防、监测、中长期密度控制，有害生物防制相关培训及健康教育。</w:t>
      </w:r>
    </w:p>
    <w:p>
      <w:pPr>
        <w:pStyle w:val="12"/>
        <w:spacing w:line="240" w:lineRule="auto"/>
        <w:ind w:left="0" w:leftChars="0" w:firstLine="0" w:firstLineChars="0"/>
        <w:rPr>
          <w:rFonts w:hint="eastAsia" w:ascii="黑体" w:hAnsi="黑体" w:eastAsia="黑体" w:cs="黑体"/>
          <w:color w:val="auto"/>
          <w:sz w:val="21"/>
          <w:szCs w:val="21"/>
        </w:rPr>
      </w:pPr>
      <w:r>
        <w:rPr>
          <w:rFonts w:hint="eastAsia" w:ascii="黑体" w:hAnsi="黑体" w:eastAsia="黑体" w:cs="黑体"/>
          <w:color w:val="auto"/>
          <w:sz w:val="21"/>
          <w:szCs w:val="21"/>
        </w:rPr>
        <w:t>7.8.2 规范经营</w:t>
      </w:r>
    </w:p>
    <w:p>
      <w:pPr>
        <w:pStyle w:val="12"/>
        <w:spacing w:line="24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7.8.2.1 物业服务企业开展有害生物防制服务，应满足有害生物防制行业的经营资质需要，在企业营业执照中增加害虫防制、家庭服务等关联的经营范围。</w:t>
      </w:r>
    </w:p>
    <w:p>
      <w:pPr>
        <w:pStyle w:val="12"/>
        <w:spacing w:line="24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7.8.2.2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物业服务企业提供长期有害生物防制服务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宜与业主签订《有害生物防制服务合同》，约定服务项目、收费标准、服务标准等。</w:t>
      </w:r>
    </w:p>
    <w:p>
      <w:pPr>
        <w:pStyle w:val="12"/>
        <w:spacing w:line="240" w:lineRule="auto"/>
        <w:ind w:left="0" w:leftChars="0" w:firstLine="0" w:firstLineChars="0"/>
        <w:rPr>
          <w:rFonts w:hint="eastAsia" w:ascii="黑体" w:hAnsi="黑体" w:eastAsia="黑体" w:cs="黑体"/>
          <w:color w:val="auto"/>
          <w:sz w:val="21"/>
          <w:szCs w:val="21"/>
        </w:rPr>
      </w:pPr>
      <w:r>
        <w:rPr>
          <w:rFonts w:hint="eastAsia" w:ascii="黑体" w:hAnsi="黑体" w:eastAsia="黑体" w:cs="黑体"/>
          <w:color w:val="auto"/>
          <w:sz w:val="21"/>
          <w:szCs w:val="21"/>
        </w:rPr>
        <w:t>7.8.3 供应商选择</w:t>
      </w:r>
    </w:p>
    <w:p>
      <w:pPr>
        <w:pStyle w:val="12"/>
        <w:spacing w:line="240" w:lineRule="auto"/>
        <w:ind w:left="0" w:leftChars="0" w:firstLine="420" w:firstLineChars="200"/>
        <w:rPr>
          <w:rFonts w:hint="eastAsia" w:ascii="黑体" w:hAnsi="黑体" w:eastAsia="黑体" w:cs="黑体"/>
          <w:color w:val="auto"/>
          <w:sz w:val="21"/>
          <w:szCs w:val="21"/>
        </w:rPr>
      </w:pPr>
      <w:r>
        <w:rPr>
          <w:rFonts w:hint="eastAsia" w:asciiTheme="minorEastAsia" w:hAnsiTheme="minorEastAsia" w:eastAsiaTheme="minorEastAsia" w:cstheme="minorEastAsia"/>
          <w:b w:val="0"/>
          <w:bCs w:val="0"/>
          <w:color w:val="000000"/>
          <w:szCs w:val="21"/>
          <w:lang w:val="en-US" w:eastAsia="zh-CN"/>
        </w:rPr>
        <w:t>建议物业服务企业在选择</w:t>
      </w:r>
      <w:r>
        <w:rPr>
          <w:rFonts w:hint="eastAsia" w:asciiTheme="minorEastAsia" w:hAnsiTheme="minorEastAsia" w:eastAsiaTheme="minorEastAsia" w:cstheme="minorEastAsia"/>
          <w:color w:val="auto"/>
          <w:sz w:val="21"/>
          <w:szCs w:val="21"/>
        </w:rPr>
        <w:t>有害生物防制</w:t>
      </w:r>
      <w:r>
        <w:rPr>
          <w:rFonts w:hint="eastAsia" w:asciiTheme="minorEastAsia" w:hAnsiTheme="minorEastAsia" w:eastAsiaTheme="minorEastAsia" w:cstheme="minorEastAsia"/>
          <w:color w:val="000000"/>
          <w:szCs w:val="21"/>
          <w:lang w:val="en-US" w:eastAsia="zh-CN"/>
        </w:rPr>
        <w:t>供应商之前宜考虑以下因素：</w:t>
      </w:r>
    </w:p>
    <w:p>
      <w:pPr>
        <w:pStyle w:val="12"/>
        <w:spacing w:line="24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rPr>
        <w:t>物业服务企业选择与有害生物防制供应商合作开展有害生物防制服务，宜实地评估供应商资质和服</w:t>
      </w:r>
      <w:r>
        <w:rPr>
          <w:rFonts w:hint="eastAsia" w:asciiTheme="minorEastAsia" w:hAnsiTheme="minorEastAsia" w:eastAsiaTheme="minorEastAsia" w:cstheme="minorEastAsia"/>
          <w:color w:val="auto"/>
          <w:sz w:val="21"/>
          <w:szCs w:val="21"/>
          <w:lang w:val="en-US" w:eastAsia="zh-CN"/>
        </w:rPr>
        <w:t>务</w:t>
      </w:r>
      <w:r>
        <w:rPr>
          <w:rFonts w:hint="eastAsia" w:asciiTheme="minorEastAsia" w:hAnsiTheme="minorEastAsia" w:eastAsiaTheme="minorEastAsia" w:cstheme="minorEastAsia"/>
          <w:color w:val="auto"/>
          <w:sz w:val="21"/>
          <w:szCs w:val="21"/>
        </w:rPr>
        <w:t>能力，签订合作合同，建立线上系统平台，制定响应机制，实时接收和响应业主需求。</w:t>
      </w:r>
    </w:p>
    <w:p>
      <w:pPr>
        <w:pStyle w:val="12"/>
        <w:spacing w:line="24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t>物业服务企业宜选择属地优质有害生物防制供应商进行合作，有害生物防制供应商要具备丰富的同行业合作经验，背景调查无负面信息。物业服务企业宜与有害生物防制服务商共同制定服务质量评估标准。</w:t>
      </w:r>
    </w:p>
    <w:p>
      <w:pPr>
        <w:pStyle w:val="12"/>
        <w:spacing w:line="600" w:lineRule="auto"/>
        <w:ind w:left="0" w:leftChars="0" w:firstLine="0" w:firstLineChars="0"/>
        <w:rPr>
          <w:rFonts w:hint="eastAsia" w:ascii="黑体" w:hAnsi="黑体" w:eastAsia="黑体" w:cs="黑体"/>
          <w:color w:val="auto"/>
          <w:sz w:val="21"/>
          <w:szCs w:val="21"/>
        </w:rPr>
      </w:pPr>
      <w:r>
        <w:rPr>
          <w:rFonts w:hint="eastAsia" w:ascii="黑体" w:hAnsi="黑体" w:eastAsia="黑体" w:cs="黑体"/>
          <w:color w:val="auto"/>
          <w:sz w:val="21"/>
          <w:szCs w:val="21"/>
        </w:rPr>
        <w:t>7.9</w:t>
      </w:r>
      <w:r>
        <w:rPr>
          <w:rFonts w:hint="eastAsia" w:ascii="黑体" w:hAnsi="黑体" w:eastAsia="黑体" w:cs="黑体"/>
          <w:color w:val="auto"/>
          <w:sz w:val="21"/>
          <w:szCs w:val="21"/>
          <w:lang w:val="en-US" w:eastAsia="zh-CN"/>
        </w:rPr>
        <w:t xml:space="preserve"> 社区</w:t>
      </w:r>
      <w:r>
        <w:rPr>
          <w:rFonts w:hint="eastAsia" w:ascii="黑体" w:hAnsi="黑体" w:eastAsia="黑体" w:cs="黑体"/>
          <w:color w:val="auto"/>
          <w:sz w:val="21"/>
          <w:szCs w:val="21"/>
        </w:rPr>
        <w:t>金融保险服务</w:t>
      </w:r>
    </w:p>
    <w:p>
      <w:pPr>
        <w:pStyle w:val="12"/>
        <w:spacing w:line="240" w:lineRule="auto"/>
        <w:ind w:left="0" w:leftChars="0" w:firstLine="0" w:firstLineChars="0"/>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 xml:space="preserve">7.9.1 </w:t>
      </w:r>
      <w:r>
        <w:rPr>
          <w:rFonts w:hint="eastAsia" w:ascii="黑体" w:hAnsi="黑体" w:eastAsia="黑体" w:cs="黑体"/>
          <w:color w:val="auto"/>
          <w:sz w:val="21"/>
          <w:szCs w:val="21"/>
        </w:rPr>
        <w:t>服务内容</w:t>
      </w:r>
    </w:p>
    <w:p>
      <w:pPr>
        <w:pStyle w:val="12"/>
        <w:spacing w:line="24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7.9.1.1社区金融保险服务包括但不限于以下两部分内容：</w:t>
      </w:r>
    </w:p>
    <w:p>
      <w:pPr>
        <w:pStyle w:val="12"/>
        <w:spacing w:line="24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rPr>
        <w:t>为业主提供的银行服务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包括存款、贷款、办理银行卡、购买理财产品等服务；</w:t>
      </w:r>
    </w:p>
    <w:p>
      <w:pPr>
        <w:pStyle w:val="12"/>
        <w:spacing w:line="24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t>为业主或商户提供的保险服务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包括健康保险、财产保险、意外保险、人寿保险、责任保险等保险产品的投保和理赔咨询、协助办理等服务。</w:t>
      </w:r>
    </w:p>
    <w:p>
      <w:pPr>
        <w:pStyle w:val="12"/>
        <w:spacing w:line="24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7.9.1.2 </w:t>
      </w:r>
      <w:r>
        <w:rPr>
          <w:rFonts w:hint="eastAsia" w:asciiTheme="minorEastAsia" w:hAnsiTheme="minorEastAsia" w:eastAsiaTheme="minorEastAsia" w:cstheme="minorEastAsia"/>
          <w:color w:val="auto"/>
          <w:sz w:val="21"/>
          <w:szCs w:val="21"/>
        </w:rPr>
        <w:t>银行、保险服务的形式</w:t>
      </w:r>
      <w:r>
        <w:rPr>
          <w:rFonts w:hint="eastAsia" w:asciiTheme="minorEastAsia" w:hAnsiTheme="minorEastAsia" w:eastAsiaTheme="minorEastAsia" w:cstheme="minorEastAsia"/>
          <w:color w:val="auto"/>
          <w:sz w:val="21"/>
          <w:szCs w:val="21"/>
          <w:lang w:eastAsia="zh-CN"/>
        </w:rPr>
        <w:t>通常包括</w:t>
      </w:r>
      <w:r>
        <w:rPr>
          <w:rFonts w:hint="eastAsia" w:asciiTheme="minorEastAsia" w:hAnsiTheme="minorEastAsia" w:eastAsiaTheme="minorEastAsia" w:cstheme="minorEastAsia"/>
          <w:color w:val="auto"/>
          <w:sz w:val="21"/>
          <w:szCs w:val="21"/>
        </w:rPr>
        <w:t>线上服务、上门服务、组织讲座、广告宣传、营销活动等。</w:t>
      </w:r>
    </w:p>
    <w:p>
      <w:pPr>
        <w:pStyle w:val="12"/>
        <w:spacing w:line="240" w:lineRule="auto"/>
        <w:ind w:left="0" w:leftChars="0" w:firstLine="0" w:firstLineChars="0"/>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rPr>
        <w:t>.2 规范经营</w:t>
      </w:r>
    </w:p>
    <w:p>
      <w:pPr>
        <w:pStyle w:val="12"/>
        <w:spacing w:line="24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.2.1 物业服务企业需要与银行、保险公司或有相关资质的第三方机构签订服务协议，建立合作关系，确保提供的服务符合法律法规和行业标准。</w:t>
      </w:r>
    </w:p>
    <w:p>
      <w:pPr>
        <w:pStyle w:val="12"/>
        <w:spacing w:line="24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.2.2 物业服务企业与银行、保险公司或有相关资质的第三方机构合作，需要遵守相关的金融监管规定，制定建立健全的服务流程和内部管理制度；确保服务质量，做好风险防范工作。</w:t>
      </w:r>
    </w:p>
    <w:p>
      <w:pPr>
        <w:pStyle w:val="12"/>
        <w:spacing w:line="240" w:lineRule="auto"/>
        <w:ind w:left="0" w:leftChars="0" w:firstLine="0" w:firstLineChars="0"/>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rPr>
        <w:t>.3 供应商选择</w:t>
      </w:r>
    </w:p>
    <w:p>
      <w:pPr>
        <w:pStyle w:val="12"/>
        <w:spacing w:line="240" w:lineRule="auto"/>
        <w:ind w:left="0" w:leftChars="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Cs w:val="21"/>
          <w:lang w:val="en-US" w:eastAsia="zh-CN"/>
        </w:rPr>
        <w:t>建议物业服务企业在选择</w:t>
      </w:r>
      <w:r>
        <w:rPr>
          <w:rFonts w:hint="eastAsia" w:asciiTheme="minorEastAsia" w:hAnsiTheme="minorEastAsia" w:eastAsiaTheme="minorEastAsia" w:cstheme="minorEastAsia"/>
          <w:color w:val="000000"/>
          <w:sz w:val="21"/>
          <w:szCs w:val="21"/>
          <w:lang w:eastAsia="zh-CN"/>
        </w:rPr>
        <w:t>社区金融保险服务</w:t>
      </w:r>
      <w:r>
        <w:rPr>
          <w:rFonts w:hint="eastAsia" w:asciiTheme="minorEastAsia" w:hAnsiTheme="minorEastAsia" w:eastAsiaTheme="minorEastAsia" w:cstheme="minorEastAsia"/>
          <w:color w:val="000000"/>
          <w:szCs w:val="21"/>
          <w:lang w:val="en-US" w:eastAsia="zh-CN"/>
        </w:rPr>
        <w:t>供应商之前宜考虑以下因素：</w:t>
      </w:r>
    </w:p>
    <w:p>
      <w:pPr>
        <w:pStyle w:val="12"/>
        <w:spacing w:line="24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rPr>
        <w:t>选择标准：选择具有良好信誉和专业能力的银行、保险机构或具有相关资质的第三方机构作为合作供应商。</w:t>
      </w:r>
    </w:p>
    <w:p>
      <w:pPr>
        <w:pStyle w:val="12"/>
        <w:spacing w:line="24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b)</w:t>
      </w:r>
      <w:r>
        <w:rPr>
          <w:rFonts w:hint="eastAsia" w:asciiTheme="minorEastAsia" w:hAnsiTheme="minorEastAsia" w:eastAsiaTheme="minorEastAsia" w:cstheme="minorEastAsia"/>
          <w:color w:val="auto"/>
          <w:sz w:val="21"/>
          <w:szCs w:val="21"/>
        </w:rPr>
        <w:t>选择方式：可以通过公开招标、邀请招标、竞争性谈判等方式选择合作供应商。</w:t>
      </w:r>
    </w:p>
    <w:p>
      <w:pPr>
        <w:pStyle w:val="12"/>
        <w:spacing w:line="24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c)</w:t>
      </w:r>
      <w:r>
        <w:rPr>
          <w:rFonts w:hint="eastAsia" w:asciiTheme="minorEastAsia" w:hAnsiTheme="minorEastAsia" w:eastAsiaTheme="minorEastAsia" w:cstheme="minorEastAsia"/>
          <w:color w:val="auto"/>
          <w:sz w:val="21"/>
          <w:szCs w:val="21"/>
        </w:rPr>
        <w:t>违约责任处理：签订合作协议，明确双方的权利和责任，制定服务评价体系，对供应商的违约行为进行相应的处理。</w:t>
      </w:r>
    </w:p>
    <w:p>
      <w:pPr>
        <w:pStyle w:val="12"/>
        <w:spacing w:line="240" w:lineRule="auto"/>
        <w:ind w:left="0" w:leftChars="0" w:firstLine="0" w:firstLineChars="0"/>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rPr>
        <w:t>.4 自主经营</w:t>
      </w:r>
    </w:p>
    <w:p>
      <w:pPr>
        <w:pStyle w:val="12"/>
        <w:spacing w:line="24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.4.1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物业公司自主经营银行和保险业务</w:t>
      </w:r>
      <w:r>
        <w:rPr>
          <w:rFonts w:hint="eastAsia" w:asciiTheme="minorEastAsia" w:hAnsiTheme="minorEastAsia" w:eastAsiaTheme="minorEastAsia" w:cstheme="minorEastAsia"/>
          <w:color w:val="auto"/>
          <w:sz w:val="21"/>
          <w:szCs w:val="21"/>
          <w:lang w:eastAsia="zh-CN"/>
        </w:rPr>
        <w:t>，应取</w:t>
      </w:r>
      <w:r>
        <w:rPr>
          <w:rFonts w:hint="eastAsia" w:asciiTheme="minorEastAsia" w:hAnsiTheme="minorEastAsia" w:eastAsiaTheme="minorEastAsia" w:cstheme="minorEastAsia"/>
          <w:color w:val="auto"/>
          <w:sz w:val="21"/>
          <w:szCs w:val="21"/>
        </w:rPr>
        <w:t>得国家金融监管机构下发的“金融许可证”。</w:t>
      </w:r>
    </w:p>
    <w:p>
      <w:pPr>
        <w:pStyle w:val="12"/>
        <w:spacing w:line="24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.4.2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物业公司从事社区商业保险销售或服务的人员，应与保险公司或具有相关资质的第三方机构签定代理或经纪合同，同时要具备“保险执业资格”。</w:t>
      </w:r>
    </w:p>
    <w:p>
      <w:pPr>
        <w:pStyle w:val="12"/>
        <w:spacing w:line="24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.4.3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应建立有效的投诉处理机制。</w:t>
      </w:r>
      <w:bookmarkEnd w:id="25"/>
    </w:p>
    <w:p>
      <w:pPr>
        <w:spacing w:line="600" w:lineRule="auto"/>
        <w:ind w:right="560"/>
        <w:outlineLvl w:val="0"/>
        <w:rPr>
          <w:rFonts w:hint="eastAsia" w:ascii="黑体" w:hAnsi="黑体" w:eastAsia="黑体" w:cs="黑体"/>
          <w:color w:val="000000"/>
          <w:szCs w:val="21"/>
        </w:rPr>
      </w:pPr>
      <w:bookmarkStart w:id="26" w:name="_Toc20872"/>
      <w:r>
        <w:rPr>
          <w:rFonts w:hint="eastAsia" w:ascii="黑体" w:hAnsi="黑体" w:eastAsia="黑体" w:cs="黑体"/>
          <w:color w:val="000000"/>
          <w:szCs w:val="21"/>
          <w:lang w:val="en-US" w:eastAsia="zh-CN"/>
        </w:rPr>
        <w:t xml:space="preserve">8 </w:t>
      </w:r>
      <w:r>
        <w:rPr>
          <w:rFonts w:hint="eastAsia" w:ascii="黑体" w:hAnsi="黑体" w:eastAsia="黑体" w:cs="黑体"/>
          <w:color w:val="000000"/>
          <w:szCs w:val="21"/>
        </w:rPr>
        <w:t>服务评价与改进</w:t>
      </w:r>
      <w:bookmarkEnd w:id="26"/>
    </w:p>
    <w:p>
      <w:pPr>
        <w:spacing w:line="240" w:lineRule="auto"/>
        <w:ind w:right="560"/>
        <w:outlineLvl w:val="1"/>
        <w:rPr>
          <w:rFonts w:hint="eastAsia" w:ascii="黑体" w:hAnsi="黑体" w:eastAsia="黑体" w:cs="黑体"/>
          <w:b w:val="0"/>
          <w:bCs w:val="0"/>
          <w:color w:val="000000"/>
          <w:szCs w:val="21"/>
        </w:rPr>
      </w:pPr>
      <w:bookmarkStart w:id="27" w:name="_Toc28883"/>
      <w:bookmarkStart w:id="28" w:name="_Toc15525"/>
      <w:r>
        <w:rPr>
          <w:rFonts w:hint="eastAsia" w:ascii="黑体" w:hAnsi="黑体" w:eastAsia="黑体" w:cs="黑体"/>
          <w:b w:val="0"/>
          <w:bCs w:val="0"/>
          <w:color w:val="000000"/>
          <w:szCs w:val="21"/>
          <w:lang w:val="en-US" w:eastAsia="zh-CN"/>
        </w:rPr>
        <w:t>8</w:t>
      </w:r>
      <w:r>
        <w:rPr>
          <w:rFonts w:hint="eastAsia" w:ascii="黑体" w:hAnsi="黑体" w:eastAsia="黑体" w:cs="黑体"/>
          <w:b w:val="0"/>
          <w:bCs w:val="0"/>
          <w:color w:val="000000"/>
          <w:szCs w:val="21"/>
        </w:rPr>
        <w:t>.1服务监督</w:t>
      </w:r>
      <w:bookmarkEnd w:id="27"/>
      <w:bookmarkEnd w:id="28"/>
    </w:p>
    <w:p>
      <w:pPr>
        <w:spacing w:line="240" w:lineRule="auto"/>
        <w:ind w:right="560"/>
        <w:rPr>
          <w:rFonts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.1.1 采取内部监督和外部监督等形式对服务进行监督。内部监督包括内部自查等，外部监督包括政府及相关部门、社会组织、社区居民、新闻媒体及其它相关方的监督。</w:t>
      </w:r>
    </w:p>
    <w:p>
      <w:pPr>
        <w:spacing w:line="240" w:lineRule="auto"/>
        <w:ind w:right="560"/>
        <w:rPr>
          <w:rFonts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.1.2 公开社区服务机构基本信息，</w:t>
      </w:r>
      <w:r>
        <w:rPr>
          <w:rFonts w:hint="eastAsia" w:ascii="宋体" w:hAnsi="宋体"/>
          <w:color w:val="000000"/>
          <w:szCs w:val="21"/>
          <w:lang w:val="en-US" w:eastAsia="zh-CN"/>
        </w:rPr>
        <w:t>公开</w:t>
      </w:r>
      <w:r>
        <w:rPr>
          <w:rFonts w:hint="eastAsia" w:ascii="宋体" w:hAnsi="宋体"/>
          <w:color w:val="000000"/>
          <w:szCs w:val="21"/>
        </w:rPr>
        <w:t>投诉电话、</w:t>
      </w:r>
      <w:r>
        <w:rPr>
          <w:rFonts w:hint="eastAsia" w:ascii="宋体" w:hAnsi="宋体"/>
          <w:color w:val="000000"/>
          <w:szCs w:val="21"/>
          <w:lang w:val="en-US" w:eastAsia="zh-CN"/>
        </w:rPr>
        <w:t>网址、公众号等</w:t>
      </w:r>
      <w:r>
        <w:rPr>
          <w:rFonts w:hint="eastAsia" w:ascii="宋体" w:hAnsi="宋体"/>
          <w:color w:val="000000"/>
          <w:szCs w:val="21"/>
        </w:rPr>
        <w:t>投诉</w:t>
      </w:r>
      <w:r>
        <w:rPr>
          <w:rFonts w:hint="eastAsia" w:ascii="宋体" w:hAnsi="宋体"/>
          <w:color w:val="000000"/>
          <w:szCs w:val="21"/>
          <w:lang w:val="en-US" w:eastAsia="zh-CN"/>
        </w:rPr>
        <w:t>渠道信息</w:t>
      </w:r>
      <w:r>
        <w:rPr>
          <w:rFonts w:hint="eastAsia" w:ascii="宋体" w:hAnsi="宋体"/>
          <w:color w:val="000000"/>
          <w:szCs w:val="21"/>
        </w:rPr>
        <w:t>。</w:t>
      </w:r>
    </w:p>
    <w:p>
      <w:pPr>
        <w:spacing w:line="240" w:lineRule="auto"/>
        <w:ind w:right="560"/>
        <w:rPr>
          <w:rFonts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.1.3 对服务反馈和服务监督的信息进行分析与评价。</w:t>
      </w:r>
    </w:p>
    <w:p>
      <w:pPr>
        <w:spacing w:line="240" w:lineRule="auto"/>
        <w:ind w:right="560"/>
        <w:outlineLvl w:val="1"/>
        <w:rPr>
          <w:rFonts w:hint="eastAsia" w:ascii="黑体" w:hAnsi="黑体" w:eastAsia="黑体" w:cs="黑体"/>
          <w:b w:val="0"/>
          <w:bCs w:val="0"/>
          <w:color w:val="000000"/>
          <w:szCs w:val="21"/>
        </w:rPr>
      </w:pPr>
      <w:bookmarkStart w:id="29" w:name="_Toc25451"/>
      <w:bookmarkStart w:id="30" w:name="_Toc4160"/>
      <w:r>
        <w:rPr>
          <w:rFonts w:hint="eastAsia" w:ascii="黑体" w:hAnsi="黑体" w:eastAsia="黑体" w:cs="黑体"/>
          <w:b w:val="0"/>
          <w:bCs w:val="0"/>
          <w:color w:val="000000"/>
          <w:szCs w:val="21"/>
          <w:lang w:val="en-US" w:eastAsia="zh-CN"/>
        </w:rPr>
        <w:t>8</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2 </w:t>
      </w:r>
      <w:r>
        <w:rPr>
          <w:rFonts w:hint="eastAsia" w:ascii="黑体" w:hAnsi="黑体" w:eastAsia="黑体" w:cs="黑体"/>
          <w:b w:val="0"/>
          <w:bCs w:val="0"/>
          <w:color w:val="000000"/>
          <w:szCs w:val="21"/>
        </w:rPr>
        <w:t>服务评价</w:t>
      </w:r>
      <w:bookmarkEnd w:id="29"/>
      <w:bookmarkEnd w:id="30"/>
    </w:p>
    <w:p>
      <w:pPr>
        <w:spacing w:line="240" w:lineRule="auto"/>
        <w:ind w:right="560"/>
        <w:rPr>
          <w:rFonts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.3.1 收集服务监督反馈、投诉处理、服务满意度等相关信息，对社区服务进行评价。</w:t>
      </w:r>
    </w:p>
    <w:p>
      <w:pPr>
        <w:spacing w:line="240" w:lineRule="auto"/>
        <w:ind w:right="560"/>
        <w:rPr>
          <w:rFonts w:ascii="宋体" w:hAnsi="宋体"/>
          <w:color w:val="auto"/>
          <w:szCs w:val="21"/>
          <w:highlight w:val="none"/>
        </w:rPr>
      </w:pPr>
      <w:r>
        <w:rPr>
          <w:rFonts w:hint="eastAsia" w:ascii="宋体" w:hAnsi="宋体"/>
          <w:color w:val="000000"/>
          <w:szCs w:val="21"/>
          <w:lang w:val="en-US" w:eastAsia="zh-CN"/>
        </w:rPr>
        <w:t>8</w:t>
      </w:r>
      <w:r>
        <w:rPr>
          <w:rFonts w:hint="eastAsia" w:ascii="宋体" w:hAnsi="宋体"/>
          <w:color w:val="000000"/>
          <w:szCs w:val="21"/>
        </w:rPr>
        <w:t>.3.2 服务满意度相关</w:t>
      </w:r>
      <w:bookmarkStart w:id="37" w:name="_GoBack"/>
      <w:r>
        <w:rPr>
          <w:rFonts w:hint="eastAsia" w:ascii="宋体" w:hAnsi="宋体"/>
          <w:color w:val="000000"/>
          <w:szCs w:val="21"/>
          <w:highlight w:val="none"/>
        </w:rPr>
        <w:t>的信息</w:t>
      </w:r>
      <w:r>
        <w:rPr>
          <w:rFonts w:hint="eastAsia" w:ascii="宋体" w:hAnsi="宋体"/>
          <w:color w:val="auto"/>
          <w:szCs w:val="21"/>
          <w:highlight w:val="none"/>
        </w:rPr>
        <w:t>来源包括：政府监督检查结果的反馈、社区居民满意度调查问卷、服务过程的沟通与反馈、相关方的反馈、各类媒体的报道、其它第三方的调查研究等。</w:t>
      </w:r>
    </w:p>
    <w:p>
      <w:pPr>
        <w:spacing w:line="240" w:lineRule="auto"/>
        <w:ind w:right="56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.3.</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服务评价形式可</w:t>
      </w:r>
      <w:r>
        <w:rPr>
          <w:rFonts w:hint="eastAsia" w:ascii="宋体" w:hAnsi="宋体"/>
          <w:color w:val="auto"/>
          <w:szCs w:val="21"/>
          <w:highlight w:val="none"/>
          <w:lang w:eastAsia="zh-CN"/>
        </w:rPr>
        <w:t>采用</w:t>
      </w:r>
      <w:r>
        <w:rPr>
          <w:rFonts w:hint="eastAsia" w:ascii="宋体" w:hAnsi="宋体"/>
          <w:color w:val="auto"/>
          <w:szCs w:val="21"/>
          <w:highlight w:val="none"/>
        </w:rPr>
        <w:t>自我评价、主管部门评价、第三方评价等。</w:t>
      </w:r>
    </w:p>
    <w:p>
      <w:pPr>
        <w:spacing w:line="240" w:lineRule="auto"/>
        <w:ind w:right="560"/>
        <w:outlineLvl w:val="1"/>
        <w:rPr>
          <w:rFonts w:hint="eastAsia" w:ascii="黑体" w:hAnsi="黑体" w:eastAsia="黑体" w:cs="黑体"/>
          <w:b w:val="0"/>
          <w:bCs w:val="0"/>
          <w:color w:val="000000"/>
          <w:szCs w:val="21"/>
          <w:highlight w:val="none"/>
        </w:rPr>
      </w:pPr>
      <w:bookmarkStart w:id="31" w:name="_Toc26604"/>
      <w:bookmarkStart w:id="32" w:name="_Toc23088"/>
      <w:r>
        <w:rPr>
          <w:rFonts w:hint="eastAsia" w:ascii="黑体" w:hAnsi="黑体" w:eastAsia="黑体" w:cs="黑体"/>
          <w:b w:val="0"/>
          <w:bCs w:val="0"/>
          <w:color w:val="000000"/>
          <w:szCs w:val="21"/>
          <w:highlight w:val="none"/>
          <w:lang w:val="en-US" w:eastAsia="zh-CN"/>
        </w:rPr>
        <w:t>8</w:t>
      </w:r>
      <w:r>
        <w:rPr>
          <w:rFonts w:hint="eastAsia" w:ascii="黑体" w:hAnsi="黑体" w:eastAsia="黑体" w:cs="黑体"/>
          <w:b w:val="0"/>
          <w:bCs w:val="0"/>
          <w:color w:val="000000"/>
          <w:szCs w:val="21"/>
          <w:highlight w:val="none"/>
        </w:rPr>
        <w:t>.</w:t>
      </w:r>
      <w:r>
        <w:rPr>
          <w:rFonts w:hint="eastAsia" w:ascii="黑体" w:hAnsi="黑体" w:eastAsia="黑体" w:cs="黑体"/>
          <w:b w:val="0"/>
          <w:bCs w:val="0"/>
          <w:color w:val="000000"/>
          <w:szCs w:val="21"/>
          <w:highlight w:val="none"/>
          <w:lang w:val="en-US" w:eastAsia="zh-CN"/>
        </w:rPr>
        <w:t>3</w:t>
      </w:r>
      <w:r>
        <w:rPr>
          <w:rFonts w:hint="eastAsia" w:ascii="黑体" w:hAnsi="黑体" w:eastAsia="黑体" w:cs="黑体"/>
          <w:b w:val="0"/>
          <w:bCs w:val="0"/>
          <w:color w:val="000000"/>
          <w:szCs w:val="21"/>
          <w:highlight w:val="none"/>
        </w:rPr>
        <w:t xml:space="preserve"> 服务改进</w:t>
      </w:r>
      <w:bookmarkEnd w:id="31"/>
      <w:bookmarkEnd w:id="32"/>
    </w:p>
    <w:p>
      <w:pPr>
        <w:spacing w:line="240" w:lineRule="auto"/>
        <w:ind w:right="560"/>
        <w:outlineLvl w:val="1"/>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highlight w:val="none"/>
          <w:lang w:val="en-US" w:eastAsia="zh-CN"/>
        </w:rPr>
        <w:t>8.4.1根据服务评价结果，识别和确定改</w:t>
      </w:r>
      <w:bookmarkEnd w:id="37"/>
      <w:r>
        <w:rPr>
          <w:rFonts w:hint="eastAsia" w:ascii="宋体" w:hAnsi="宋体" w:eastAsia="宋体" w:cs="宋体"/>
          <w:b w:val="0"/>
          <w:bCs w:val="0"/>
          <w:color w:val="000000"/>
          <w:szCs w:val="21"/>
          <w:lang w:val="en-US" w:eastAsia="zh-CN"/>
        </w:rPr>
        <w:t>进机会，采取必要的措施改进服务。</w:t>
      </w:r>
    </w:p>
    <w:p>
      <w:pPr>
        <w:spacing w:line="240" w:lineRule="auto"/>
        <w:ind w:right="560"/>
        <w:outlineLvl w:val="1"/>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8.4.2提供服务过程中出现偏差或造成损失时，应及时采取服务补救措施，必要时采取纠正措施，并建立改进和创新机制；</w:t>
      </w:r>
    </w:p>
    <w:p>
      <w:pPr>
        <w:spacing w:line="240" w:lineRule="auto"/>
        <w:ind w:right="560"/>
        <w:outlineLvl w:val="1"/>
        <w:rPr>
          <w:rFonts w:hint="eastAsia" w:ascii="宋体" w:hAnsi="宋体" w:eastAsia="宋体" w:cs="宋体"/>
          <w:b w:val="0"/>
          <w:bCs w:val="0"/>
          <w:color w:val="000000"/>
          <w:szCs w:val="21"/>
          <w:lang w:val="en-US" w:eastAsia="zh-CN"/>
        </w:rPr>
        <w:sectPr>
          <w:footerReference r:id="rId8" w:type="default"/>
          <w:pgSz w:w="11906" w:h="16838"/>
          <w:pgMar w:top="567" w:right="1134" w:bottom="1134" w:left="1418" w:header="1418" w:footer="1134" w:gutter="0"/>
          <w:pgNumType w:fmt="decimal" w:start="1"/>
          <w:cols w:space="720" w:num="1"/>
          <w:formProt w:val="0"/>
          <w:docGrid w:type="lines" w:linePitch="312" w:charSpace="0"/>
        </w:sectPr>
      </w:pPr>
      <w:r>
        <w:rPr>
          <w:rFonts w:hint="eastAsia" w:ascii="宋体" w:hAnsi="宋体" w:eastAsia="宋体" w:cs="宋体"/>
          <w:b w:val="0"/>
          <w:bCs w:val="0"/>
          <w:color w:val="000000"/>
          <w:szCs w:val="21"/>
          <w:lang w:val="en-US" w:eastAsia="zh-CN"/>
        </w:rPr>
        <w:t>8.4.</w:t>
      </w:r>
      <w:r>
        <w:rPr>
          <w:rFonts w:hint="eastAsia" w:ascii="宋体" w:hAnsi="宋体" w:cs="宋体"/>
          <w:b w:val="0"/>
          <w:bCs w:val="0"/>
          <w:color w:val="000000"/>
          <w:szCs w:val="21"/>
          <w:lang w:val="en-US" w:eastAsia="zh-CN"/>
        </w:rPr>
        <w:t>3</w:t>
      </w:r>
      <w:r>
        <w:rPr>
          <w:rFonts w:hint="eastAsia" w:ascii="宋体" w:hAnsi="宋体" w:eastAsia="宋体" w:cs="宋体"/>
          <w:b w:val="0"/>
          <w:bCs w:val="0"/>
          <w:color w:val="000000"/>
          <w:szCs w:val="21"/>
          <w:lang w:val="en-US" w:eastAsia="zh-CN"/>
        </w:rPr>
        <w:t>通过标杆对比、模式创新、技术创新等方式，持续改进服务的有效性和效率。</w:t>
      </w:r>
    </w:p>
    <w:bookmarkEnd w:id="18"/>
    <w:p>
      <w:pPr>
        <w:pStyle w:val="117"/>
        <w:spacing w:line="240" w:lineRule="auto"/>
        <w:ind w:firstLine="3584" w:firstLineChars="1700"/>
        <w:jc w:val="both"/>
        <w:rPr>
          <w:rFonts w:hint="eastAsia" w:ascii="黑体" w:hAnsi="黑体" w:eastAsia="黑体" w:cs="黑体"/>
          <w:b/>
          <w:bCs/>
          <w:color w:val="000000" w:themeColor="text1"/>
          <w14:textFill>
            <w14:solidFill>
              <w14:schemeClr w14:val="tx1"/>
            </w14:solidFill>
          </w14:textFill>
        </w:rPr>
      </w:pPr>
      <w:bookmarkStart w:id="33" w:name="_Toc60661646"/>
      <w:bookmarkStart w:id="34" w:name="_Toc11028"/>
      <w:bookmarkStart w:id="35" w:name="_Toc155901944"/>
      <w:bookmarkStart w:id="36" w:name="_Toc7295"/>
      <w:r>
        <w:rPr>
          <w:rFonts w:hint="eastAsia" w:ascii="黑体" w:hAnsi="黑体" w:eastAsia="黑体" w:cs="黑体"/>
          <w:b/>
          <w:bCs/>
          <w:color w:val="000000" w:themeColor="text1"/>
          <w14:textFill>
            <w14:solidFill>
              <w14:schemeClr w14:val="tx1"/>
            </w14:solidFill>
          </w14:textFill>
        </w:rPr>
        <w:t>参 考 文 献</w:t>
      </w:r>
      <w:bookmarkEnd w:id="33"/>
      <w:bookmarkEnd w:id="34"/>
      <w:bookmarkEnd w:id="35"/>
      <w:bookmarkEnd w:id="36"/>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GB/</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T</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 2064</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7</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w:t>
      </w: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2006</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 社区服务指南 第9部分：物业服务</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CJJ 184-2012餐厨垃圾处理技术规范（附条文说明）</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T/CBDA 38-2020老年人设施室内装饰装修技术规程</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TD/</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T</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 1062</w:t>
      </w: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 xml:space="preserve">2021 </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 社区生活圈规划技术指南</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DB21/T 1920-2011房地产中介服务质量规范</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DB21/T 2185-2013 住宅装饰装修服务规范</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DB31/T 1045-2017家政服务机构管理要求</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DB13/T 2900-2018家政服务标准体系</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要求 </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B32/T 3706-2019住宅装饰装修质量规范</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bidi="ar-SA"/>
          <w14:textFill>
            <w14:solidFill>
              <w14:schemeClr w14:val="tx1"/>
            </w14:solidFill>
          </w14:textFill>
        </w:rPr>
        <w:t xml:space="preserve">DB44/T 2292-2021家政服务—家政服务企业培训管理规范 </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bidi="ar"/>
          <w14:textFill>
            <w14:solidFill>
              <w14:schemeClr w14:val="tx1"/>
            </w14:solidFill>
          </w14:textFill>
        </w:rPr>
        <w:t>DB5101/T 123—2021</w:t>
      </w:r>
      <w: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lang w:bidi="ar"/>
          <w14:textFill>
            <w14:solidFill>
              <w14:schemeClr w14:val="tx1"/>
            </w14:solidFill>
          </w14:textFill>
        </w:rPr>
        <w:t>成都住宅物业服务等级规范</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DDB4201/T 645-2021房地产经纪服务规范</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DB35/T 2074—2022城市社区服务 通用要求</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bidi="ar"/>
          <w14:textFill>
            <w14:solidFill>
              <w14:schemeClr w14:val="tx1"/>
            </w14:solidFill>
          </w14:textFill>
        </w:rPr>
        <w:t>DB6101/T 3122-2022</w:t>
      </w:r>
      <w: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lang w:bidi="ar"/>
          <w14:textFill>
            <w14:solidFill>
              <w14:schemeClr w14:val="tx1"/>
            </w14:solidFill>
          </w14:textFill>
        </w:rPr>
        <w:t>西安新型冠状病毒肺炎疫情封闭管理物业服务规范 住宅小区</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bidi="ar"/>
          <w14:textFill>
            <w14:solidFill>
              <w14:schemeClr w14:val="tx1"/>
            </w14:solidFill>
          </w14:textFill>
        </w:rPr>
        <w:t>DB6301/T 4-2023</w:t>
      </w:r>
      <w: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lang w:bidi="ar"/>
          <w14:textFill>
            <w14:solidFill>
              <w14:schemeClr w14:val="tx1"/>
            </w14:solidFill>
          </w14:textFill>
        </w:rPr>
        <w:t>西宁住宅物业星级服务规范</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DB15/T 3141-2023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家政服务企业培训基本要求</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bidi="ar"/>
          <w14:textFill>
            <w14:solidFill>
              <w14:schemeClr w14:val="tx1"/>
            </w14:solidFill>
          </w14:textFill>
        </w:rPr>
        <w:t>基层社区动物文明建设白皮书（2020-2023）</w:t>
      </w:r>
    </w:p>
    <w:p>
      <w:pPr>
        <w:widowControl/>
        <w:numPr>
          <w:ilvl w:val="0"/>
          <w:numId w:val="3"/>
        </w:numPr>
        <w:spacing w:line="240" w:lineRule="auto"/>
        <w:ind w:firstLine="420" w:firstLineChars="200"/>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bidi="ar"/>
          <w14:textFill>
            <w14:solidFill>
              <w14:schemeClr w14:val="tx1"/>
            </w14:solidFill>
          </w14:textFill>
        </w:rPr>
        <w:t xml:space="preserve">流浪动物侵权责任主体认定 吕嘉慧 2022 </w:t>
      </w:r>
    </w:p>
    <w:p>
      <w:pPr>
        <w:widowControl/>
        <w:numPr>
          <w:ilvl w:val="0"/>
          <w:numId w:val="0"/>
        </w:numPr>
        <w:spacing w:line="240"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pPr>
        <w:widowControl/>
        <w:numPr>
          <w:ilvl w:val="0"/>
          <w:numId w:val="0"/>
        </w:numPr>
        <w:spacing w:line="240" w:lineRule="auto"/>
        <w:jc w:val="left"/>
        <w:rPr>
          <w:rFonts w:hint="eastAsia" w:asciiTheme="minorEastAsia" w:hAnsiTheme="minorEastAsia" w:eastAsiaTheme="minorEastAsia" w:cstheme="minorEastAsia"/>
          <w:color w:val="000000" w:themeColor="text1"/>
          <w:lang w:val="en-US" w:eastAsia="zh-CN"/>
          <w14:textFill>
            <w14:solidFill>
              <w14:schemeClr w14:val="tx1"/>
            </w14:solidFill>
          </w14:textFill>
        </w:rPr>
      </w:pPr>
    </w:p>
    <w:p>
      <w:pPr>
        <w:widowControl/>
        <w:spacing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p>
      <w:pPr>
        <w:widowControl/>
        <w:spacing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p>
      <w:pPr>
        <w:widowControl/>
        <w:spacing w:line="240" w:lineRule="auto"/>
        <w:ind w:firstLine="420" w:firstLineChars="200"/>
        <w:jc w:val="left"/>
        <w:rPr>
          <w:rFonts w:hint="eastAsia" w:asciiTheme="minorEastAsia" w:hAnsiTheme="minorEastAsia" w:eastAsiaTheme="minorEastAsia" w:cstheme="minorEastAsia"/>
          <w:color w:val="000000" w:themeColor="text1"/>
          <w:szCs w:val="21"/>
          <w:u w:val="single"/>
          <w14:textFill>
            <w14:solidFill>
              <w14:schemeClr w14:val="tx1"/>
            </w14:solidFill>
          </w14:textFill>
        </w:rPr>
      </w:pPr>
    </w:p>
    <w:p>
      <w:pPr>
        <w:widowControl/>
        <w:spacing w:line="240" w:lineRule="auto"/>
        <w:ind w:firstLine="420" w:firstLineChars="200"/>
        <w:jc w:val="left"/>
        <w:rPr>
          <w:rFonts w:hint="eastAsia" w:asciiTheme="minorEastAsia" w:hAnsiTheme="minorEastAsia" w:eastAsiaTheme="minorEastAsia" w:cstheme="minorEastAsia"/>
          <w:color w:val="000000" w:themeColor="text1"/>
          <w:kern w:val="0"/>
          <w:szCs w:val="20"/>
          <w:u w:val="single"/>
          <w14:textFill>
            <w14:solidFill>
              <w14:schemeClr w14:val="tx1"/>
            </w14:solidFill>
          </w14:textFill>
        </w:rPr>
      </w:pPr>
    </w:p>
    <w:sectPr>
      <w:footerReference r:id="rId9" w:type="default"/>
      <w:pgSz w:w="11906" w:h="16838"/>
      <w:pgMar w:top="567" w:right="1134" w:bottom="1134" w:left="1418" w:header="1418" w:footer="1134" w:gutter="0"/>
      <w:pgNumType w:fmt="decimal"/>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54D6F7-FD5B-452C-9C4A-505D02F523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489386D-F1C9-444C-AFF7-2D13FD1F3D0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jc w:val="both"/>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21"/>
                      <w:jc w:val="both"/>
                    </w:pP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posOffset>5742940</wp:posOffset>
              </wp:positionH>
              <wp:positionV relativeFrom="paragraph">
                <wp:posOffset>-6350</wp:posOffset>
              </wp:positionV>
              <wp:extent cx="1828800" cy="14414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44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jc w:val="center"/>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52.2pt;margin-top:-0.5pt;height:11.35pt;width:144pt;mso-position-horizontal-relative:margin;mso-wrap-style:none;z-index:251668480;mso-width-relative:page;mso-height-relative:page;" filled="f" stroked="f" coordsize="21600,21600" o:gfxdata="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u7SNjZAAAACgEAAA8AAAAAAAAAAQAgAAAAIgAAAGRycy9kb3du&#10;cmV2LnhtbFBLAQIUABQAAAAIAIdO4kCKgbKLNwIAAGIEAAAOAAAAAAAAAAEAIAAAACgBAABkcnMv&#10;ZTJvRG9jLnhtbFBLBQYAAAAABgAGAFkBAADRBQAAAAA=&#10;">
              <v:fill on="f" focussize="0,0"/>
              <v:stroke on="f" weight="0.5pt"/>
              <v:imagedata o:title=""/>
              <o:lock v:ext="edit" aspectratio="f"/>
              <v:textbox inset="0mm,0mm,0mm,0mm">
                <w:txbxContent>
                  <w:p>
                    <w:pPr>
                      <w:pStyle w:val="21"/>
                      <w:jc w:val="center"/>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jc w:val="center"/>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pPr>
                      <w:pStyle w:val="21"/>
                      <w:jc w:val="center"/>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21"/>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1"/>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5742940</wp:posOffset>
              </wp:positionH>
              <wp:positionV relativeFrom="paragraph">
                <wp:posOffset>-6350</wp:posOffset>
              </wp:positionV>
              <wp:extent cx="1828800" cy="14414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44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jc w:val="center"/>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52.2pt;margin-top:-0.5pt;height:11.35pt;width:144pt;mso-position-horizontal-relative:margin;mso-wrap-style:none;z-index:251665408;mso-width-relative:page;mso-height-relative:page;" filled="f" stroked="f" coordsize="21600,21600" o:gfxdata="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7u0jY2QAAAAoBAAAPAAAAAAAAAAEAIAAAACIAAABkcnMvZG93&#10;bnJldi54bWxQSwECFAAUAAAACACHTuJAD82ffjgCAABiBAAADgAAAAAAAAABACAAAAAoAQAAZHJz&#10;L2Uyb0RvYy54bWxQSwUGAAAAAAYABgBZAQAA0gUAAAAA&#10;">
              <v:fill on="f" focussize="0,0"/>
              <v:stroke on="f" weight="0.5pt"/>
              <v:imagedata o:title=""/>
              <o:lock v:ext="edit" aspectratio="f"/>
              <v:textbox inset="0mm,0mm,0mm,0mm">
                <w:txbxContent>
                  <w:p>
                    <w:pPr>
                      <w:pStyle w:val="21"/>
                      <w:jc w:val="center"/>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jc w:val="center"/>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pPr>
                      <w:pStyle w:val="21"/>
                      <w:jc w:val="center"/>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eastAsia="黑体"/>
      </w:rPr>
    </w:pPr>
    <w:r>
      <w:rPr>
        <w:rFonts w:ascii="黑体" w:hAnsi="黑体" w:eastAsia="黑体"/>
        <w:color w:val="000000" w:themeColor="text1"/>
        <w14:textFill>
          <w14:solidFill>
            <w14:schemeClr w14:val="tx1"/>
          </w14:solidFill>
        </w14:textFill>
      </w:rPr>
      <w:t>T/CPMI 0</w:t>
    </w:r>
    <w:r>
      <w:rPr>
        <w:rFonts w:hint="eastAsia" w:ascii="黑体" w:hAnsi="黑体" w:eastAsia="黑体"/>
        <w:color w:val="000000" w:themeColor="text1"/>
        <w14:textFill>
          <w14:solidFill>
            <w14:schemeClr w14:val="tx1"/>
          </w14:solidFill>
        </w14:textFill>
      </w:rPr>
      <w:t>XX</w:t>
    </w:r>
    <w:r>
      <w:rPr>
        <w:rFonts w:ascii="黑体" w:hAnsi="黑体" w:eastAsia="黑体"/>
        <w:color w:val="000000" w:themeColor="text1"/>
        <w14:textFill>
          <w14:solidFill>
            <w14:schemeClr w14:val="tx1"/>
          </w14:solidFill>
        </w14:textFill>
      </w:rPr>
      <w:t>—202</w:t>
    </w:r>
    <w:r>
      <w:rPr>
        <w:rFonts w:hint="eastAsia" w:ascii="黑体" w:hAnsi="黑体" w:eastAsia="黑体"/>
        <w:color w:val="000000" w:themeColor="text1"/>
        <w14:textFill>
          <w14:solidFill>
            <w14:schemeClr w14:val="tx1"/>
          </w14:solidFill>
        </w14:textFill>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5F472"/>
    <w:multiLevelType w:val="singleLevel"/>
    <w:tmpl w:val="0CD5F472"/>
    <w:lvl w:ilvl="0" w:tentative="0">
      <w:start w:val="1"/>
      <w:numFmt w:val="decimal"/>
      <w:suff w:val="space"/>
      <w:lvlText w:val="[%1]"/>
      <w:lvlJc w:val="left"/>
      <w:rPr>
        <w:rFonts w:hint="default"/>
        <w:b w:val="0"/>
        <w:bCs w:val="0"/>
      </w:rPr>
    </w:lvl>
  </w:abstractNum>
  <w:abstractNum w:abstractNumId="1">
    <w:nsid w:val="11C30A22"/>
    <w:multiLevelType w:val="multilevel"/>
    <w:tmpl w:val="11C30A2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3"/>
      <w:lvlText w:val="%2)"/>
      <w:lvlJc w:val="left"/>
      <w:pPr>
        <w:tabs>
          <w:tab w:val="left" w:pos="1260"/>
        </w:tabs>
        <w:ind w:left="1259" w:hanging="419"/>
      </w:pPr>
      <w:rPr>
        <w:rFonts w:hint="eastAsia"/>
      </w:rPr>
    </w:lvl>
    <w:lvl w:ilvl="2" w:tentative="0">
      <w:start w:val="1"/>
      <w:numFmt w:val="decimal"/>
      <w:pStyle w:val="10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36C0401F"/>
    <w:multiLevelType w:val="multilevel"/>
    <w:tmpl w:val="36C0401F"/>
    <w:lvl w:ilvl="0" w:tentative="0">
      <w:start w:val="1"/>
      <w:numFmt w:val="decimal"/>
      <w:suff w:val="nothing"/>
      <w:lvlText w:val="%1"/>
      <w:lvlJc w:val="left"/>
      <w:pPr>
        <w:ind w:left="0" w:firstLine="0"/>
      </w:pPr>
      <w:rPr>
        <w:rFonts w:hint="default" w:ascii="黑体" w:hAnsi="黑体" w:eastAsia="黑体" w:cs="黑体"/>
        <w:sz w:val="21"/>
        <w:szCs w:val="21"/>
      </w:rPr>
    </w:lvl>
    <w:lvl w:ilvl="1" w:tentative="0">
      <w:start w:val="1"/>
      <w:numFmt w:val="decimal"/>
      <w:suff w:val="nothing"/>
      <w:lvlText w:val="%1.%2"/>
      <w:lvlJc w:val="left"/>
      <w:pPr>
        <w:ind w:left="-562" w:firstLine="0"/>
      </w:pPr>
      <w:rPr>
        <w:rFonts w:hint="default" w:ascii="黑体" w:hAnsi="黑体" w:eastAsia="黑体" w:cs="黑体"/>
        <w:sz w:val="21"/>
        <w:szCs w:val="21"/>
      </w:rPr>
    </w:lvl>
    <w:lvl w:ilvl="2" w:tentative="0">
      <w:start w:val="1"/>
      <w:numFmt w:val="decimal"/>
      <w:suff w:val="nothing"/>
      <w:lvlText w:val="%1.%2.%3"/>
      <w:lvlJc w:val="left"/>
      <w:pPr>
        <w:ind w:left="630" w:firstLine="0"/>
      </w:pPr>
      <w:rPr>
        <w:rFonts w:hint="default" w:ascii="黑体" w:hAnsi="黑体" w:eastAsia="黑体"/>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4MjM2YzMxMDMzNzI5Nzk3NWUyNTljZjU4NmIyOWYifQ=="/>
  </w:docVars>
  <w:rsids>
    <w:rsidRoot w:val="00035925"/>
    <w:rsid w:val="00000244"/>
    <w:rsid w:val="00000C52"/>
    <w:rsid w:val="0000136A"/>
    <w:rsid w:val="0000153E"/>
    <w:rsid w:val="0000185F"/>
    <w:rsid w:val="00001F7D"/>
    <w:rsid w:val="00004554"/>
    <w:rsid w:val="0000543A"/>
    <w:rsid w:val="0000586F"/>
    <w:rsid w:val="00007284"/>
    <w:rsid w:val="000073DA"/>
    <w:rsid w:val="00007B9B"/>
    <w:rsid w:val="000109CE"/>
    <w:rsid w:val="000118F8"/>
    <w:rsid w:val="00011CB8"/>
    <w:rsid w:val="000139A3"/>
    <w:rsid w:val="00013D86"/>
    <w:rsid w:val="00013E02"/>
    <w:rsid w:val="00013FA5"/>
    <w:rsid w:val="000148BF"/>
    <w:rsid w:val="000156D3"/>
    <w:rsid w:val="0001738F"/>
    <w:rsid w:val="000175AD"/>
    <w:rsid w:val="00017D84"/>
    <w:rsid w:val="00017EF5"/>
    <w:rsid w:val="00020157"/>
    <w:rsid w:val="0002143C"/>
    <w:rsid w:val="00022E35"/>
    <w:rsid w:val="00023D9A"/>
    <w:rsid w:val="000241E6"/>
    <w:rsid w:val="0002473D"/>
    <w:rsid w:val="00024F33"/>
    <w:rsid w:val="00025A65"/>
    <w:rsid w:val="00026C31"/>
    <w:rsid w:val="00027280"/>
    <w:rsid w:val="0002769F"/>
    <w:rsid w:val="00027C6A"/>
    <w:rsid w:val="00027DD7"/>
    <w:rsid w:val="0003078A"/>
    <w:rsid w:val="00031719"/>
    <w:rsid w:val="000319EB"/>
    <w:rsid w:val="000320A7"/>
    <w:rsid w:val="00032389"/>
    <w:rsid w:val="00032D4F"/>
    <w:rsid w:val="000341AE"/>
    <w:rsid w:val="00035351"/>
    <w:rsid w:val="00035925"/>
    <w:rsid w:val="0003622F"/>
    <w:rsid w:val="0003626D"/>
    <w:rsid w:val="00036C1A"/>
    <w:rsid w:val="000370F6"/>
    <w:rsid w:val="00040704"/>
    <w:rsid w:val="00041945"/>
    <w:rsid w:val="00041FD8"/>
    <w:rsid w:val="0004229A"/>
    <w:rsid w:val="00042D01"/>
    <w:rsid w:val="00043B9D"/>
    <w:rsid w:val="000440A4"/>
    <w:rsid w:val="00045CC6"/>
    <w:rsid w:val="00046889"/>
    <w:rsid w:val="00046FDA"/>
    <w:rsid w:val="00047543"/>
    <w:rsid w:val="00047E4B"/>
    <w:rsid w:val="000500E6"/>
    <w:rsid w:val="00050CD9"/>
    <w:rsid w:val="00050CF5"/>
    <w:rsid w:val="000521D6"/>
    <w:rsid w:val="00052946"/>
    <w:rsid w:val="00052B7A"/>
    <w:rsid w:val="000539AC"/>
    <w:rsid w:val="00053F88"/>
    <w:rsid w:val="0005453A"/>
    <w:rsid w:val="00055607"/>
    <w:rsid w:val="000576D8"/>
    <w:rsid w:val="0006060F"/>
    <w:rsid w:val="000610E8"/>
    <w:rsid w:val="00061757"/>
    <w:rsid w:val="00062D83"/>
    <w:rsid w:val="0006502B"/>
    <w:rsid w:val="0006568A"/>
    <w:rsid w:val="000659A7"/>
    <w:rsid w:val="00066F46"/>
    <w:rsid w:val="000670AA"/>
    <w:rsid w:val="00067A7A"/>
    <w:rsid w:val="00067CDF"/>
    <w:rsid w:val="00067F57"/>
    <w:rsid w:val="000716DB"/>
    <w:rsid w:val="00071E3B"/>
    <w:rsid w:val="00072708"/>
    <w:rsid w:val="00072DAC"/>
    <w:rsid w:val="000730A9"/>
    <w:rsid w:val="00073BE0"/>
    <w:rsid w:val="00074320"/>
    <w:rsid w:val="000748B7"/>
    <w:rsid w:val="00074BB1"/>
    <w:rsid w:val="00074FBE"/>
    <w:rsid w:val="00075B7D"/>
    <w:rsid w:val="00075D81"/>
    <w:rsid w:val="00076B9E"/>
    <w:rsid w:val="00077722"/>
    <w:rsid w:val="0007795D"/>
    <w:rsid w:val="00077B10"/>
    <w:rsid w:val="00080032"/>
    <w:rsid w:val="00080091"/>
    <w:rsid w:val="000802E0"/>
    <w:rsid w:val="00082108"/>
    <w:rsid w:val="00082A3E"/>
    <w:rsid w:val="00083474"/>
    <w:rsid w:val="00083A09"/>
    <w:rsid w:val="00083A50"/>
    <w:rsid w:val="000845C3"/>
    <w:rsid w:val="00085313"/>
    <w:rsid w:val="000856FC"/>
    <w:rsid w:val="000863D5"/>
    <w:rsid w:val="00086588"/>
    <w:rsid w:val="00086D14"/>
    <w:rsid w:val="00087091"/>
    <w:rsid w:val="0009005E"/>
    <w:rsid w:val="00090AE3"/>
    <w:rsid w:val="00090D67"/>
    <w:rsid w:val="00091319"/>
    <w:rsid w:val="000917D8"/>
    <w:rsid w:val="00091BDE"/>
    <w:rsid w:val="00092857"/>
    <w:rsid w:val="00092A44"/>
    <w:rsid w:val="0009302E"/>
    <w:rsid w:val="000944F8"/>
    <w:rsid w:val="000957E0"/>
    <w:rsid w:val="000966F9"/>
    <w:rsid w:val="00096D34"/>
    <w:rsid w:val="0009707A"/>
    <w:rsid w:val="000A0F53"/>
    <w:rsid w:val="000A1DC7"/>
    <w:rsid w:val="000A20A9"/>
    <w:rsid w:val="000A2A2E"/>
    <w:rsid w:val="000A31F2"/>
    <w:rsid w:val="000A35DD"/>
    <w:rsid w:val="000A3942"/>
    <w:rsid w:val="000A41BD"/>
    <w:rsid w:val="000A4437"/>
    <w:rsid w:val="000A48B1"/>
    <w:rsid w:val="000A4A3D"/>
    <w:rsid w:val="000A52DD"/>
    <w:rsid w:val="000A53CC"/>
    <w:rsid w:val="000A5969"/>
    <w:rsid w:val="000A659B"/>
    <w:rsid w:val="000A6AB9"/>
    <w:rsid w:val="000B0516"/>
    <w:rsid w:val="000B1C05"/>
    <w:rsid w:val="000B3143"/>
    <w:rsid w:val="000B3488"/>
    <w:rsid w:val="000B45A6"/>
    <w:rsid w:val="000B4E9C"/>
    <w:rsid w:val="000B5CDA"/>
    <w:rsid w:val="000B5E21"/>
    <w:rsid w:val="000B61CA"/>
    <w:rsid w:val="000B680F"/>
    <w:rsid w:val="000B6B3A"/>
    <w:rsid w:val="000B7389"/>
    <w:rsid w:val="000C179F"/>
    <w:rsid w:val="000C1F4D"/>
    <w:rsid w:val="000C293E"/>
    <w:rsid w:val="000C3544"/>
    <w:rsid w:val="000C3688"/>
    <w:rsid w:val="000C4176"/>
    <w:rsid w:val="000C41F4"/>
    <w:rsid w:val="000C44AD"/>
    <w:rsid w:val="000C4660"/>
    <w:rsid w:val="000C56CB"/>
    <w:rsid w:val="000C5889"/>
    <w:rsid w:val="000C6B05"/>
    <w:rsid w:val="000C6DD6"/>
    <w:rsid w:val="000C73D4"/>
    <w:rsid w:val="000C7C70"/>
    <w:rsid w:val="000C7E58"/>
    <w:rsid w:val="000D04BF"/>
    <w:rsid w:val="000D077C"/>
    <w:rsid w:val="000D094F"/>
    <w:rsid w:val="000D1292"/>
    <w:rsid w:val="000D3D4C"/>
    <w:rsid w:val="000D44D0"/>
    <w:rsid w:val="000D4651"/>
    <w:rsid w:val="000D484A"/>
    <w:rsid w:val="000D4F51"/>
    <w:rsid w:val="000D546E"/>
    <w:rsid w:val="000D5B3F"/>
    <w:rsid w:val="000D718B"/>
    <w:rsid w:val="000D7378"/>
    <w:rsid w:val="000D76FE"/>
    <w:rsid w:val="000D7E95"/>
    <w:rsid w:val="000E0C1D"/>
    <w:rsid w:val="000E0C46"/>
    <w:rsid w:val="000E23B8"/>
    <w:rsid w:val="000E3206"/>
    <w:rsid w:val="000E34BC"/>
    <w:rsid w:val="000E3689"/>
    <w:rsid w:val="000E3843"/>
    <w:rsid w:val="000E394E"/>
    <w:rsid w:val="000E3D74"/>
    <w:rsid w:val="000E3D9B"/>
    <w:rsid w:val="000E456F"/>
    <w:rsid w:val="000E4729"/>
    <w:rsid w:val="000E557C"/>
    <w:rsid w:val="000E5855"/>
    <w:rsid w:val="000E6661"/>
    <w:rsid w:val="000E6CF1"/>
    <w:rsid w:val="000E71F4"/>
    <w:rsid w:val="000E728D"/>
    <w:rsid w:val="000E7A72"/>
    <w:rsid w:val="000F030C"/>
    <w:rsid w:val="000F0506"/>
    <w:rsid w:val="000F089C"/>
    <w:rsid w:val="000F129C"/>
    <w:rsid w:val="000F1FEE"/>
    <w:rsid w:val="000F634C"/>
    <w:rsid w:val="000F691E"/>
    <w:rsid w:val="00100672"/>
    <w:rsid w:val="0010072A"/>
    <w:rsid w:val="001014CF"/>
    <w:rsid w:val="00101E8C"/>
    <w:rsid w:val="00102C5F"/>
    <w:rsid w:val="00103282"/>
    <w:rsid w:val="00103574"/>
    <w:rsid w:val="00105119"/>
    <w:rsid w:val="0010525A"/>
    <w:rsid w:val="001056DE"/>
    <w:rsid w:val="00105707"/>
    <w:rsid w:val="001101FD"/>
    <w:rsid w:val="00110444"/>
    <w:rsid w:val="0011110B"/>
    <w:rsid w:val="001111CA"/>
    <w:rsid w:val="001124C0"/>
    <w:rsid w:val="0011453B"/>
    <w:rsid w:val="00117238"/>
    <w:rsid w:val="00120C07"/>
    <w:rsid w:val="00120C42"/>
    <w:rsid w:val="0012269D"/>
    <w:rsid w:val="00122ED2"/>
    <w:rsid w:val="00123AC9"/>
    <w:rsid w:val="00124C8C"/>
    <w:rsid w:val="00125089"/>
    <w:rsid w:val="001259DD"/>
    <w:rsid w:val="00126CC5"/>
    <w:rsid w:val="00127292"/>
    <w:rsid w:val="00130543"/>
    <w:rsid w:val="0013076C"/>
    <w:rsid w:val="00130E6A"/>
    <w:rsid w:val="0013175F"/>
    <w:rsid w:val="00131795"/>
    <w:rsid w:val="001319E5"/>
    <w:rsid w:val="0013215C"/>
    <w:rsid w:val="001322F2"/>
    <w:rsid w:val="0013497F"/>
    <w:rsid w:val="00134BB1"/>
    <w:rsid w:val="00135333"/>
    <w:rsid w:val="001357C9"/>
    <w:rsid w:val="0013608A"/>
    <w:rsid w:val="001363BC"/>
    <w:rsid w:val="00136794"/>
    <w:rsid w:val="001371A8"/>
    <w:rsid w:val="0013745A"/>
    <w:rsid w:val="00137CAF"/>
    <w:rsid w:val="00137EE9"/>
    <w:rsid w:val="00140709"/>
    <w:rsid w:val="001414FA"/>
    <w:rsid w:val="001418B2"/>
    <w:rsid w:val="0014198B"/>
    <w:rsid w:val="00143317"/>
    <w:rsid w:val="001437D4"/>
    <w:rsid w:val="001441E8"/>
    <w:rsid w:val="00144F30"/>
    <w:rsid w:val="00146FFA"/>
    <w:rsid w:val="001477AD"/>
    <w:rsid w:val="001503FB"/>
    <w:rsid w:val="00150603"/>
    <w:rsid w:val="00150EDD"/>
    <w:rsid w:val="00151051"/>
    <w:rsid w:val="001512B4"/>
    <w:rsid w:val="00153B8F"/>
    <w:rsid w:val="00153C42"/>
    <w:rsid w:val="00153EDC"/>
    <w:rsid w:val="0015425F"/>
    <w:rsid w:val="00156DAE"/>
    <w:rsid w:val="00157A91"/>
    <w:rsid w:val="00161FB0"/>
    <w:rsid w:val="001620A5"/>
    <w:rsid w:val="00162238"/>
    <w:rsid w:val="00162C8C"/>
    <w:rsid w:val="001636E2"/>
    <w:rsid w:val="00163BF4"/>
    <w:rsid w:val="00164388"/>
    <w:rsid w:val="00164E53"/>
    <w:rsid w:val="001653A0"/>
    <w:rsid w:val="00165F72"/>
    <w:rsid w:val="0016699D"/>
    <w:rsid w:val="00171109"/>
    <w:rsid w:val="00172A5E"/>
    <w:rsid w:val="00173033"/>
    <w:rsid w:val="0017401A"/>
    <w:rsid w:val="0017476F"/>
    <w:rsid w:val="00174B14"/>
    <w:rsid w:val="00175159"/>
    <w:rsid w:val="0017574F"/>
    <w:rsid w:val="00176208"/>
    <w:rsid w:val="00176B80"/>
    <w:rsid w:val="00176EB7"/>
    <w:rsid w:val="00177ED9"/>
    <w:rsid w:val="00180DA9"/>
    <w:rsid w:val="001810E1"/>
    <w:rsid w:val="00181C18"/>
    <w:rsid w:val="0018211B"/>
    <w:rsid w:val="00182AAE"/>
    <w:rsid w:val="00182B04"/>
    <w:rsid w:val="001840D3"/>
    <w:rsid w:val="00184B36"/>
    <w:rsid w:val="001852F4"/>
    <w:rsid w:val="00185C0B"/>
    <w:rsid w:val="001860B1"/>
    <w:rsid w:val="00186100"/>
    <w:rsid w:val="001861EB"/>
    <w:rsid w:val="00187287"/>
    <w:rsid w:val="001900F8"/>
    <w:rsid w:val="00190CED"/>
    <w:rsid w:val="00190E53"/>
    <w:rsid w:val="00191258"/>
    <w:rsid w:val="001917B4"/>
    <w:rsid w:val="0019184E"/>
    <w:rsid w:val="00192680"/>
    <w:rsid w:val="00193037"/>
    <w:rsid w:val="0019304C"/>
    <w:rsid w:val="00193A2C"/>
    <w:rsid w:val="00193CD1"/>
    <w:rsid w:val="00193E64"/>
    <w:rsid w:val="00194805"/>
    <w:rsid w:val="00194FDD"/>
    <w:rsid w:val="0019625C"/>
    <w:rsid w:val="00197121"/>
    <w:rsid w:val="001A0828"/>
    <w:rsid w:val="001A109D"/>
    <w:rsid w:val="001A1879"/>
    <w:rsid w:val="001A1A43"/>
    <w:rsid w:val="001A288E"/>
    <w:rsid w:val="001A37D5"/>
    <w:rsid w:val="001A52B3"/>
    <w:rsid w:val="001A5855"/>
    <w:rsid w:val="001A60C3"/>
    <w:rsid w:val="001A60F0"/>
    <w:rsid w:val="001A642F"/>
    <w:rsid w:val="001A6703"/>
    <w:rsid w:val="001A6A8C"/>
    <w:rsid w:val="001A6FF5"/>
    <w:rsid w:val="001A7AAD"/>
    <w:rsid w:val="001A7E64"/>
    <w:rsid w:val="001B0D07"/>
    <w:rsid w:val="001B0E6B"/>
    <w:rsid w:val="001B0FD6"/>
    <w:rsid w:val="001B28B1"/>
    <w:rsid w:val="001B2962"/>
    <w:rsid w:val="001B3274"/>
    <w:rsid w:val="001B328D"/>
    <w:rsid w:val="001B35CC"/>
    <w:rsid w:val="001B3C90"/>
    <w:rsid w:val="001B42B6"/>
    <w:rsid w:val="001B43FC"/>
    <w:rsid w:val="001B501B"/>
    <w:rsid w:val="001B539E"/>
    <w:rsid w:val="001B5E12"/>
    <w:rsid w:val="001B6DC2"/>
    <w:rsid w:val="001B75C2"/>
    <w:rsid w:val="001B79E0"/>
    <w:rsid w:val="001C0C53"/>
    <w:rsid w:val="001C0E71"/>
    <w:rsid w:val="001C149C"/>
    <w:rsid w:val="001C21AC"/>
    <w:rsid w:val="001C33AD"/>
    <w:rsid w:val="001C46A0"/>
    <w:rsid w:val="001C47BA"/>
    <w:rsid w:val="001C50BE"/>
    <w:rsid w:val="001C58AC"/>
    <w:rsid w:val="001C59EA"/>
    <w:rsid w:val="001D0131"/>
    <w:rsid w:val="001D052E"/>
    <w:rsid w:val="001D1B50"/>
    <w:rsid w:val="001D1F1D"/>
    <w:rsid w:val="001D3945"/>
    <w:rsid w:val="001D3C35"/>
    <w:rsid w:val="001D406C"/>
    <w:rsid w:val="001D4160"/>
    <w:rsid w:val="001D41EE"/>
    <w:rsid w:val="001D56CC"/>
    <w:rsid w:val="001D663D"/>
    <w:rsid w:val="001D665E"/>
    <w:rsid w:val="001D7635"/>
    <w:rsid w:val="001E0380"/>
    <w:rsid w:val="001E0D38"/>
    <w:rsid w:val="001E13B1"/>
    <w:rsid w:val="001E14B0"/>
    <w:rsid w:val="001E1732"/>
    <w:rsid w:val="001E1EA5"/>
    <w:rsid w:val="001E1F24"/>
    <w:rsid w:val="001E2077"/>
    <w:rsid w:val="001E2B4D"/>
    <w:rsid w:val="001E3DF9"/>
    <w:rsid w:val="001E418B"/>
    <w:rsid w:val="001E51DE"/>
    <w:rsid w:val="001E5F36"/>
    <w:rsid w:val="001E676C"/>
    <w:rsid w:val="001E68DE"/>
    <w:rsid w:val="001E6B98"/>
    <w:rsid w:val="001E6D5F"/>
    <w:rsid w:val="001E7704"/>
    <w:rsid w:val="001E7753"/>
    <w:rsid w:val="001F1AEE"/>
    <w:rsid w:val="001F2D9D"/>
    <w:rsid w:val="001F31A1"/>
    <w:rsid w:val="001F35B4"/>
    <w:rsid w:val="001F3A19"/>
    <w:rsid w:val="001F3C88"/>
    <w:rsid w:val="001F46BE"/>
    <w:rsid w:val="001F4ED6"/>
    <w:rsid w:val="001F5280"/>
    <w:rsid w:val="001F53BA"/>
    <w:rsid w:val="001F5FC0"/>
    <w:rsid w:val="001F7940"/>
    <w:rsid w:val="00200A49"/>
    <w:rsid w:val="00200E3A"/>
    <w:rsid w:val="002013DE"/>
    <w:rsid w:val="002017B8"/>
    <w:rsid w:val="0020214D"/>
    <w:rsid w:val="0020223A"/>
    <w:rsid w:val="00203325"/>
    <w:rsid w:val="00203347"/>
    <w:rsid w:val="00203A7C"/>
    <w:rsid w:val="00204288"/>
    <w:rsid w:val="0020437D"/>
    <w:rsid w:val="00204CBD"/>
    <w:rsid w:val="002059F9"/>
    <w:rsid w:val="00205B7A"/>
    <w:rsid w:val="00205F52"/>
    <w:rsid w:val="0020625C"/>
    <w:rsid w:val="002105A5"/>
    <w:rsid w:val="002106BE"/>
    <w:rsid w:val="002109A9"/>
    <w:rsid w:val="00211E9C"/>
    <w:rsid w:val="002120BC"/>
    <w:rsid w:val="0021257B"/>
    <w:rsid w:val="0021590E"/>
    <w:rsid w:val="0021614F"/>
    <w:rsid w:val="00220CD4"/>
    <w:rsid w:val="00221663"/>
    <w:rsid w:val="00222700"/>
    <w:rsid w:val="0022298D"/>
    <w:rsid w:val="00223030"/>
    <w:rsid w:val="002237C8"/>
    <w:rsid w:val="002243D1"/>
    <w:rsid w:val="00224EE1"/>
    <w:rsid w:val="00224F96"/>
    <w:rsid w:val="002271C5"/>
    <w:rsid w:val="00227453"/>
    <w:rsid w:val="0023213A"/>
    <w:rsid w:val="002328D1"/>
    <w:rsid w:val="00232F4E"/>
    <w:rsid w:val="00233D4D"/>
    <w:rsid w:val="00234467"/>
    <w:rsid w:val="002347E5"/>
    <w:rsid w:val="0023657C"/>
    <w:rsid w:val="0023668F"/>
    <w:rsid w:val="00237474"/>
    <w:rsid w:val="00237676"/>
    <w:rsid w:val="00237D21"/>
    <w:rsid w:val="00237D8D"/>
    <w:rsid w:val="00240ED8"/>
    <w:rsid w:val="00241DA2"/>
    <w:rsid w:val="00241F90"/>
    <w:rsid w:val="0024284B"/>
    <w:rsid w:val="00242B47"/>
    <w:rsid w:val="002431F9"/>
    <w:rsid w:val="00243ADC"/>
    <w:rsid w:val="00245C0A"/>
    <w:rsid w:val="002464B5"/>
    <w:rsid w:val="00246FB1"/>
    <w:rsid w:val="002476A6"/>
    <w:rsid w:val="00247E57"/>
    <w:rsid w:val="00247FEE"/>
    <w:rsid w:val="00250E7D"/>
    <w:rsid w:val="002516B0"/>
    <w:rsid w:val="00253093"/>
    <w:rsid w:val="00254D5E"/>
    <w:rsid w:val="00255F53"/>
    <w:rsid w:val="002565D5"/>
    <w:rsid w:val="0025725A"/>
    <w:rsid w:val="00260238"/>
    <w:rsid w:val="00261F14"/>
    <w:rsid w:val="002622C0"/>
    <w:rsid w:val="002636CA"/>
    <w:rsid w:val="00263980"/>
    <w:rsid w:val="002643CF"/>
    <w:rsid w:val="00264722"/>
    <w:rsid w:val="00264913"/>
    <w:rsid w:val="00265299"/>
    <w:rsid w:val="00266576"/>
    <w:rsid w:val="00266583"/>
    <w:rsid w:val="00266B3C"/>
    <w:rsid w:val="00267D73"/>
    <w:rsid w:val="00267F8C"/>
    <w:rsid w:val="0027359F"/>
    <w:rsid w:val="002744D4"/>
    <w:rsid w:val="00274D55"/>
    <w:rsid w:val="0027546D"/>
    <w:rsid w:val="002754B4"/>
    <w:rsid w:val="00277491"/>
    <w:rsid w:val="002778AE"/>
    <w:rsid w:val="00280DA5"/>
    <w:rsid w:val="0028269A"/>
    <w:rsid w:val="002829A7"/>
    <w:rsid w:val="00282AA9"/>
    <w:rsid w:val="00282D3F"/>
    <w:rsid w:val="00282E74"/>
    <w:rsid w:val="00283590"/>
    <w:rsid w:val="002847CF"/>
    <w:rsid w:val="00284B04"/>
    <w:rsid w:val="00285039"/>
    <w:rsid w:val="002860DB"/>
    <w:rsid w:val="00286973"/>
    <w:rsid w:val="002909CE"/>
    <w:rsid w:val="002919A3"/>
    <w:rsid w:val="00291E3A"/>
    <w:rsid w:val="002928DA"/>
    <w:rsid w:val="00294E70"/>
    <w:rsid w:val="0029514C"/>
    <w:rsid w:val="00297B7B"/>
    <w:rsid w:val="00297DCF"/>
    <w:rsid w:val="002A042A"/>
    <w:rsid w:val="002A04EA"/>
    <w:rsid w:val="002A0F90"/>
    <w:rsid w:val="002A107E"/>
    <w:rsid w:val="002A1924"/>
    <w:rsid w:val="002A1DC7"/>
    <w:rsid w:val="002A33D9"/>
    <w:rsid w:val="002A3971"/>
    <w:rsid w:val="002A397A"/>
    <w:rsid w:val="002A5696"/>
    <w:rsid w:val="002A683B"/>
    <w:rsid w:val="002A7420"/>
    <w:rsid w:val="002A7571"/>
    <w:rsid w:val="002B0F12"/>
    <w:rsid w:val="002B1035"/>
    <w:rsid w:val="002B1308"/>
    <w:rsid w:val="002B2057"/>
    <w:rsid w:val="002B3107"/>
    <w:rsid w:val="002B4554"/>
    <w:rsid w:val="002B4AF7"/>
    <w:rsid w:val="002B5533"/>
    <w:rsid w:val="002B59F2"/>
    <w:rsid w:val="002B745C"/>
    <w:rsid w:val="002B7804"/>
    <w:rsid w:val="002B78BF"/>
    <w:rsid w:val="002C01DD"/>
    <w:rsid w:val="002C08DD"/>
    <w:rsid w:val="002C22AA"/>
    <w:rsid w:val="002C43E0"/>
    <w:rsid w:val="002C44AC"/>
    <w:rsid w:val="002C4808"/>
    <w:rsid w:val="002C4A9E"/>
    <w:rsid w:val="002C5A74"/>
    <w:rsid w:val="002C5D40"/>
    <w:rsid w:val="002C68C4"/>
    <w:rsid w:val="002C72D8"/>
    <w:rsid w:val="002D11FA"/>
    <w:rsid w:val="002D1C24"/>
    <w:rsid w:val="002D251B"/>
    <w:rsid w:val="002D29CB"/>
    <w:rsid w:val="002D30F6"/>
    <w:rsid w:val="002D6378"/>
    <w:rsid w:val="002D7233"/>
    <w:rsid w:val="002D7803"/>
    <w:rsid w:val="002D7BEB"/>
    <w:rsid w:val="002E0DDF"/>
    <w:rsid w:val="002E21DB"/>
    <w:rsid w:val="002E25DF"/>
    <w:rsid w:val="002E2849"/>
    <w:rsid w:val="002E2906"/>
    <w:rsid w:val="002E3205"/>
    <w:rsid w:val="002E3825"/>
    <w:rsid w:val="002E42F1"/>
    <w:rsid w:val="002E43F7"/>
    <w:rsid w:val="002E5348"/>
    <w:rsid w:val="002E5635"/>
    <w:rsid w:val="002E5788"/>
    <w:rsid w:val="002E64C3"/>
    <w:rsid w:val="002E6698"/>
    <w:rsid w:val="002E6A2C"/>
    <w:rsid w:val="002F0CAD"/>
    <w:rsid w:val="002F12EA"/>
    <w:rsid w:val="002F1ADC"/>
    <w:rsid w:val="002F1C5B"/>
    <w:rsid w:val="002F1C7F"/>
    <w:rsid w:val="002F1D8C"/>
    <w:rsid w:val="002F21DA"/>
    <w:rsid w:val="002F2584"/>
    <w:rsid w:val="002F266C"/>
    <w:rsid w:val="002F60FB"/>
    <w:rsid w:val="002F70B0"/>
    <w:rsid w:val="00300236"/>
    <w:rsid w:val="00301617"/>
    <w:rsid w:val="00301F39"/>
    <w:rsid w:val="0030386C"/>
    <w:rsid w:val="003044C4"/>
    <w:rsid w:val="0030466D"/>
    <w:rsid w:val="00304CF1"/>
    <w:rsid w:val="0030503E"/>
    <w:rsid w:val="003053E3"/>
    <w:rsid w:val="00306CB7"/>
    <w:rsid w:val="00307C83"/>
    <w:rsid w:val="00310154"/>
    <w:rsid w:val="00310A67"/>
    <w:rsid w:val="00310D88"/>
    <w:rsid w:val="00310F4F"/>
    <w:rsid w:val="003129D1"/>
    <w:rsid w:val="00312BF1"/>
    <w:rsid w:val="00312C42"/>
    <w:rsid w:val="00313614"/>
    <w:rsid w:val="00314DF6"/>
    <w:rsid w:val="00315018"/>
    <w:rsid w:val="00315D93"/>
    <w:rsid w:val="00317315"/>
    <w:rsid w:val="003175AD"/>
    <w:rsid w:val="0032005F"/>
    <w:rsid w:val="00323393"/>
    <w:rsid w:val="00324918"/>
    <w:rsid w:val="00325678"/>
    <w:rsid w:val="00325690"/>
    <w:rsid w:val="00325926"/>
    <w:rsid w:val="00326F39"/>
    <w:rsid w:val="00327158"/>
    <w:rsid w:val="003272AF"/>
    <w:rsid w:val="00327A8A"/>
    <w:rsid w:val="00330255"/>
    <w:rsid w:val="0033221B"/>
    <w:rsid w:val="00332D39"/>
    <w:rsid w:val="0033337D"/>
    <w:rsid w:val="003335E7"/>
    <w:rsid w:val="0033362E"/>
    <w:rsid w:val="003336C6"/>
    <w:rsid w:val="00335325"/>
    <w:rsid w:val="0033555F"/>
    <w:rsid w:val="003359C1"/>
    <w:rsid w:val="003365F3"/>
    <w:rsid w:val="00336610"/>
    <w:rsid w:val="0033701D"/>
    <w:rsid w:val="00340D88"/>
    <w:rsid w:val="00341C29"/>
    <w:rsid w:val="00341D19"/>
    <w:rsid w:val="00342BB3"/>
    <w:rsid w:val="00343A3A"/>
    <w:rsid w:val="00343D3C"/>
    <w:rsid w:val="00343F73"/>
    <w:rsid w:val="0034406F"/>
    <w:rsid w:val="00344559"/>
    <w:rsid w:val="00345060"/>
    <w:rsid w:val="00345596"/>
    <w:rsid w:val="00345ECC"/>
    <w:rsid w:val="00346597"/>
    <w:rsid w:val="003471A9"/>
    <w:rsid w:val="00347C2C"/>
    <w:rsid w:val="003504FB"/>
    <w:rsid w:val="00350562"/>
    <w:rsid w:val="00350BB7"/>
    <w:rsid w:val="003516FB"/>
    <w:rsid w:val="00351D97"/>
    <w:rsid w:val="00351E8E"/>
    <w:rsid w:val="0035300D"/>
    <w:rsid w:val="0035323B"/>
    <w:rsid w:val="00353CB5"/>
    <w:rsid w:val="0035428F"/>
    <w:rsid w:val="0035599B"/>
    <w:rsid w:val="00355C41"/>
    <w:rsid w:val="00356949"/>
    <w:rsid w:val="00356E52"/>
    <w:rsid w:val="00357922"/>
    <w:rsid w:val="00360136"/>
    <w:rsid w:val="00360727"/>
    <w:rsid w:val="0036076F"/>
    <w:rsid w:val="003609D2"/>
    <w:rsid w:val="00360EC5"/>
    <w:rsid w:val="003622DE"/>
    <w:rsid w:val="00363171"/>
    <w:rsid w:val="003631D1"/>
    <w:rsid w:val="00363F22"/>
    <w:rsid w:val="003645C6"/>
    <w:rsid w:val="00364D01"/>
    <w:rsid w:val="00364D51"/>
    <w:rsid w:val="003658A1"/>
    <w:rsid w:val="0036642F"/>
    <w:rsid w:val="00366BDB"/>
    <w:rsid w:val="00367113"/>
    <w:rsid w:val="003672A7"/>
    <w:rsid w:val="00370EF2"/>
    <w:rsid w:val="0037158D"/>
    <w:rsid w:val="003752F1"/>
    <w:rsid w:val="00375564"/>
    <w:rsid w:val="0037610D"/>
    <w:rsid w:val="003769C0"/>
    <w:rsid w:val="00376A8D"/>
    <w:rsid w:val="00383191"/>
    <w:rsid w:val="0038425B"/>
    <w:rsid w:val="00384462"/>
    <w:rsid w:val="003847EA"/>
    <w:rsid w:val="003858B9"/>
    <w:rsid w:val="00385CCD"/>
    <w:rsid w:val="00386038"/>
    <w:rsid w:val="00386DED"/>
    <w:rsid w:val="00387059"/>
    <w:rsid w:val="003878F7"/>
    <w:rsid w:val="003912E7"/>
    <w:rsid w:val="003919EF"/>
    <w:rsid w:val="00391DCB"/>
    <w:rsid w:val="00391F28"/>
    <w:rsid w:val="00392F38"/>
    <w:rsid w:val="00393947"/>
    <w:rsid w:val="0039422B"/>
    <w:rsid w:val="0039461F"/>
    <w:rsid w:val="00394DEF"/>
    <w:rsid w:val="0039588A"/>
    <w:rsid w:val="00395BB5"/>
    <w:rsid w:val="00396834"/>
    <w:rsid w:val="00396E57"/>
    <w:rsid w:val="00397BDA"/>
    <w:rsid w:val="00397D88"/>
    <w:rsid w:val="003A1133"/>
    <w:rsid w:val="003A1BC0"/>
    <w:rsid w:val="003A1D14"/>
    <w:rsid w:val="003A1E97"/>
    <w:rsid w:val="003A21EA"/>
    <w:rsid w:val="003A2275"/>
    <w:rsid w:val="003A2465"/>
    <w:rsid w:val="003A2C02"/>
    <w:rsid w:val="003A3222"/>
    <w:rsid w:val="003A3884"/>
    <w:rsid w:val="003A4190"/>
    <w:rsid w:val="003A510B"/>
    <w:rsid w:val="003A59A1"/>
    <w:rsid w:val="003A6869"/>
    <w:rsid w:val="003A6A4F"/>
    <w:rsid w:val="003A7088"/>
    <w:rsid w:val="003A7E90"/>
    <w:rsid w:val="003B00DF"/>
    <w:rsid w:val="003B1275"/>
    <w:rsid w:val="003B1778"/>
    <w:rsid w:val="003B28E2"/>
    <w:rsid w:val="003B2E96"/>
    <w:rsid w:val="003B2F6F"/>
    <w:rsid w:val="003B30D8"/>
    <w:rsid w:val="003B3900"/>
    <w:rsid w:val="003B3F48"/>
    <w:rsid w:val="003B46F1"/>
    <w:rsid w:val="003B501B"/>
    <w:rsid w:val="003B5CB1"/>
    <w:rsid w:val="003B7227"/>
    <w:rsid w:val="003C11CB"/>
    <w:rsid w:val="003C1E8F"/>
    <w:rsid w:val="003C2B55"/>
    <w:rsid w:val="003C3422"/>
    <w:rsid w:val="003C4270"/>
    <w:rsid w:val="003C4731"/>
    <w:rsid w:val="003C4965"/>
    <w:rsid w:val="003C49A6"/>
    <w:rsid w:val="003C5261"/>
    <w:rsid w:val="003C5EA8"/>
    <w:rsid w:val="003C5F77"/>
    <w:rsid w:val="003C5FAD"/>
    <w:rsid w:val="003C75F3"/>
    <w:rsid w:val="003C76C1"/>
    <w:rsid w:val="003C78A3"/>
    <w:rsid w:val="003C7B25"/>
    <w:rsid w:val="003D05D7"/>
    <w:rsid w:val="003D0637"/>
    <w:rsid w:val="003D1A5D"/>
    <w:rsid w:val="003D20E7"/>
    <w:rsid w:val="003D280A"/>
    <w:rsid w:val="003D787F"/>
    <w:rsid w:val="003E037E"/>
    <w:rsid w:val="003E04DD"/>
    <w:rsid w:val="003E1058"/>
    <w:rsid w:val="003E11CF"/>
    <w:rsid w:val="003E1867"/>
    <w:rsid w:val="003E1E1E"/>
    <w:rsid w:val="003E234F"/>
    <w:rsid w:val="003E2507"/>
    <w:rsid w:val="003E25FD"/>
    <w:rsid w:val="003E4572"/>
    <w:rsid w:val="003E470A"/>
    <w:rsid w:val="003E49FF"/>
    <w:rsid w:val="003E4ACD"/>
    <w:rsid w:val="003E5729"/>
    <w:rsid w:val="003E7449"/>
    <w:rsid w:val="003E7DB8"/>
    <w:rsid w:val="003F027E"/>
    <w:rsid w:val="003F0D8B"/>
    <w:rsid w:val="003F1798"/>
    <w:rsid w:val="003F22AF"/>
    <w:rsid w:val="003F245A"/>
    <w:rsid w:val="003F3851"/>
    <w:rsid w:val="003F4881"/>
    <w:rsid w:val="003F4E70"/>
    <w:rsid w:val="003F4EE0"/>
    <w:rsid w:val="003F5516"/>
    <w:rsid w:val="003F5F29"/>
    <w:rsid w:val="003F63F8"/>
    <w:rsid w:val="003F6470"/>
    <w:rsid w:val="003F7190"/>
    <w:rsid w:val="003F765C"/>
    <w:rsid w:val="003F7F10"/>
    <w:rsid w:val="00400BD4"/>
    <w:rsid w:val="004020C0"/>
    <w:rsid w:val="00402153"/>
    <w:rsid w:val="00402FC1"/>
    <w:rsid w:val="004035E6"/>
    <w:rsid w:val="00403C89"/>
    <w:rsid w:val="00403D40"/>
    <w:rsid w:val="00403F64"/>
    <w:rsid w:val="004045D8"/>
    <w:rsid w:val="004049D3"/>
    <w:rsid w:val="00407961"/>
    <w:rsid w:val="0041065D"/>
    <w:rsid w:val="00410765"/>
    <w:rsid w:val="0041164F"/>
    <w:rsid w:val="004117A9"/>
    <w:rsid w:val="00411825"/>
    <w:rsid w:val="004130E3"/>
    <w:rsid w:val="004135CD"/>
    <w:rsid w:val="00414228"/>
    <w:rsid w:val="00414C7E"/>
    <w:rsid w:val="00415565"/>
    <w:rsid w:val="00416321"/>
    <w:rsid w:val="00416812"/>
    <w:rsid w:val="00416A9B"/>
    <w:rsid w:val="00417677"/>
    <w:rsid w:val="00417A71"/>
    <w:rsid w:val="00417AE3"/>
    <w:rsid w:val="004228A7"/>
    <w:rsid w:val="00422D30"/>
    <w:rsid w:val="00424274"/>
    <w:rsid w:val="0042504E"/>
    <w:rsid w:val="00425082"/>
    <w:rsid w:val="00425638"/>
    <w:rsid w:val="00426C8C"/>
    <w:rsid w:val="00427221"/>
    <w:rsid w:val="00427807"/>
    <w:rsid w:val="00427B08"/>
    <w:rsid w:val="00427E72"/>
    <w:rsid w:val="004310C3"/>
    <w:rsid w:val="00431DEB"/>
    <w:rsid w:val="00433C24"/>
    <w:rsid w:val="00433CDE"/>
    <w:rsid w:val="00433E7E"/>
    <w:rsid w:val="004342C4"/>
    <w:rsid w:val="00434734"/>
    <w:rsid w:val="004356AC"/>
    <w:rsid w:val="004360D4"/>
    <w:rsid w:val="0043766D"/>
    <w:rsid w:val="004377D6"/>
    <w:rsid w:val="00440EAA"/>
    <w:rsid w:val="00441E21"/>
    <w:rsid w:val="0044376C"/>
    <w:rsid w:val="00443C37"/>
    <w:rsid w:val="00444183"/>
    <w:rsid w:val="00444730"/>
    <w:rsid w:val="00444D46"/>
    <w:rsid w:val="00445621"/>
    <w:rsid w:val="004461A5"/>
    <w:rsid w:val="00446311"/>
    <w:rsid w:val="00446B29"/>
    <w:rsid w:val="004476FC"/>
    <w:rsid w:val="004500CD"/>
    <w:rsid w:val="00451AB9"/>
    <w:rsid w:val="004534AB"/>
    <w:rsid w:val="00453F9A"/>
    <w:rsid w:val="004543EB"/>
    <w:rsid w:val="00454F92"/>
    <w:rsid w:val="00456505"/>
    <w:rsid w:val="004565EF"/>
    <w:rsid w:val="00457027"/>
    <w:rsid w:val="004572C8"/>
    <w:rsid w:val="004601CE"/>
    <w:rsid w:val="0046100E"/>
    <w:rsid w:val="00461186"/>
    <w:rsid w:val="00461AED"/>
    <w:rsid w:val="00462328"/>
    <w:rsid w:val="00462624"/>
    <w:rsid w:val="00462A2B"/>
    <w:rsid w:val="00464475"/>
    <w:rsid w:val="0046487B"/>
    <w:rsid w:val="0046639A"/>
    <w:rsid w:val="0046649A"/>
    <w:rsid w:val="0046681C"/>
    <w:rsid w:val="004671AF"/>
    <w:rsid w:val="00470451"/>
    <w:rsid w:val="00470A30"/>
    <w:rsid w:val="00471149"/>
    <w:rsid w:val="00471E91"/>
    <w:rsid w:val="00472D9E"/>
    <w:rsid w:val="00472E12"/>
    <w:rsid w:val="004738DE"/>
    <w:rsid w:val="004743CC"/>
    <w:rsid w:val="00474675"/>
    <w:rsid w:val="0047470C"/>
    <w:rsid w:val="00476B45"/>
    <w:rsid w:val="004813FA"/>
    <w:rsid w:val="00481F77"/>
    <w:rsid w:val="0048250D"/>
    <w:rsid w:val="00482AFF"/>
    <w:rsid w:val="00482CDF"/>
    <w:rsid w:val="00483105"/>
    <w:rsid w:val="004832E9"/>
    <w:rsid w:val="0048362D"/>
    <w:rsid w:val="00484503"/>
    <w:rsid w:val="004858DB"/>
    <w:rsid w:val="00485AC1"/>
    <w:rsid w:val="004863DF"/>
    <w:rsid w:val="004863F3"/>
    <w:rsid w:val="00486DFF"/>
    <w:rsid w:val="00490946"/>
    <w:rsid w:val="00492F69"/>
    <w:rsid w:val="004931E6"/>
    <w:rsid w:val="00493E6D"/>
    <w:rsid w:val="004948B0"/>
    <w:rsid w:val="004954AA"/>
    <w:rsid w:val="0049584D"/>
    <w:rsid w:val="00496A2A"/>
    <w:rsid w:val="0049704E"/>
    <w:rsid w:val="004A1ACE"/>
    <w:rsid w:val="004A1B03"/>
    <w:rsid w:val="004A279B"/>
    <w:rsid w:val="004A2AC1"/>
    <w:rsid w:val="004A2CAD"/>
    <w:rsid w:val="004A3077"/>
    <w:rsid w:val="004A3277"/>
    <w:rsid w:val="004A35F9"/>
    <w:rsid w:val="004A3BD8"/>
    <w:rsid w:val="004A3C0E"/>
    <w:rsid w:val="004A3D07"/>
    <w:rsid w:val="004A4441"/>
    <w:rsid w:val="004A5139"/>
    <w:rsid w:val="004A60A3"/>
    <w:rsid w:val="004A629D"/>
    <w:rsid w:val="004A687D"/>
    <w:rsid w:val="004B0E5D"/>
    <w:rsid w:val="004B125E"/>
    <w:rsid w:val="004B24C1"/>
    <w:rsid w:val="004B268C"/>
    <w:rsid w:val="004B2E4B"/>
    <w:rsid w:val="004B5AAD"/>
    <w:rsid w:val="004B723F"/>
    <w:rsid w:val="004B748B"/>
    <w:rsid w:val="004B7FA3"/>
    <w:rsid w:val="004C0267"/>
    <w:rsid w:val="004C099A"/>
    <w:rsid w:val="004C0FBE"/>
    <w:rsid w:val="004C1771"/>
    <w:rsid w:val="004C1D31"/>
    <w:rsid w:val="004C2475"/>
    <w:rsid w:val="004C292F"/>
    <w:rsid w:val="004C2C06"/>
    <w:rsid w:val="004C38CA"/>
    <w:rsid w:val="004C3F5D"/>
    <w:rsid w:val="004C4A2A"/>
    <w:rsid w:val="004C4AD4"/>
    <w:rsid w:val="004C4FB6"/>
    <w:rsid w:val="004C52B2"/>
    <w:rsid w:val="004C630B"/>
    <w:rsid w:val="004D0494"/>
    <w:rsid w:val="004D1AA8"/>
    <w:rsid w:val="004D1BD6"/>
    <w:rsid w:val="004D3354"/>
    <w:rsid w:val="004D40BE"/>
    <w:rsid w:val="004D4103"/>
    <w:rsid w:val="004D4AE7"/>
    <w:rsid w:val="004D4EFF"/>
    <w:rsid w:val="004D592A"/>
    <w:rsid w:val="004D61CA"/>
    <w:rsid w:val="004D6BE3"/>
    <w:rsid w:val="004D6FAB"/>
    <w:rsid w:val="004D7E52"/>
    <w:rsid w:val="004E1264"/>
    <w:rsid w:val="004E13CA"/>
    <w:rsid w:val="004E1A9A"/>
    <w:rsid w:val="004E1B0D"/>
    <w:rsid w:val="004E31A3"/>
    <w:rsid w:val="004E395E"/>
    <w:rsid w:val="004E3DE3"/>
    <w:rsid w:val="004E779D"/>
    <w:rsid w:val="004F016E"/>
    <w:rsid w:val="004F224E"/>
    <w:rsid w:val="004F2DE7"/>
    <w:rsid w:val="004F4F43"/>
    <w:rsid w:val="004F5C37"/>
    <w:rsid w:val="004F6227"/>
    <w:rsid w:val="004F624C"/>
    <w:rsid w:val="004F69AA"/>
    <w:rsid w:val="004F6D7A"/>
    <w:rsid w:val="00500C74"/>
    <w:rsid w:val="00501232"/>
    <w:rsid w:val="0050215E"/>
    <w:rsid w:val="00502BC6"/>
    <w:rsid w:val="0050318D"/>
    <w:rsid w:val="0050361C"/>
    <w:rsid w:val="005046AA"/>
    <w:rsid w:val="00505284"/>
    <w:rsid w:val="00506494"/>
    <w:rsid w:val="0050766E"/>
    <w:rsid w:val="00510280"/>
    <w:rsid w:val="005105C1"/>
    <w:rsid w:val="00511094"/>
    <w:rsid w:val="005112CB"/>
    <w:rsid w:val="005114F5"/>
    <w:rsid w:val="00513D73"/>
    <w:rsid w:val="0051460A"/>
    <w:rsid w:val="00514A43"/>
    <w:rsid w:val="00514A58"/>
    <w:rsid w:val="00515E2D"/>
    <w:rsid w:val="00516EED"/>
    <w:rsid w:val="005174E5"/>
    <w:rsid w:val="00520435"/>
    <w:rsid w:val="00520523"/>
    <w:rsid w:val="0052126E"/>
    <w:rsid w:val="005215ED"/>
    <w:rsid w:val="00522393"/>
    <w:rsid w:val="00522620"/>
    <w:rsid w:val="005229D6"/>
    <w:rsid w:val="0052325C"/>
    <w:rsid w:val="0052353D"/>
    <w:rsid w:val="005236DF"/>
    <w:rsid w:val="00523739"/>
    <w:rsid w:val="00523A71"/>
    <w:rsid w:val="005245B1"/>
    <w:rsid w:val="00525656"/>
    <w:rsid w:val="00526B69"/>
    <w:rsid w:val="005306F1"/>
    <w:rsid w:val="005307B5"/>
    <w:rsid w:val="00530B39"/>
    <w:rsid w:val="0053100F"/>
    <w:rsid w:val="00531AB8"/>
    <w:rsid w:val="00532296"/>
    <w:rsid w:val="0053278C"/>
    <w:rsid w:val="00532F12"/>
    <w:rsid w:val="00532FEB"/>
    <w:rsid w:val="0053340A"/>
    <w:rsid w:val="0053379A"/>
    <w:rsid w:val="00533991"/>
    <w:rsid w:val="005345E6"/>
    <w:rsid w:val="00534C02"/>
    <w:rsid w:val="005377A9"/>
    <w:rsid w:val="00537C88"/>
    <w:rsid w:val="0054003A"/>
    <w:rsid w:val="005406BA"/>
    <w:rsid w:val="00540F7C"/>
    <w:rsid w:val="0054264B"/>
    <w:rsid w:val="00543127"/>
    <w:rsid w:val="00543786"/>
    <w:rsid w:val="00544D21"/>
    <w:rsid w:val="00544EEC"/>
    <w:rsid w:val="00545942"/>
    <w:rsid w:val="00545B29"/>
    <w:rsid w:val="00545D30"/>
    <w:rsid w:val="00546538"/>
    <w:rsid w:val="005466BF"/>
    <w:rsid w:val="00546FA3"/>
    <w:rsid w:val="005470CF"/>
    <w:rsid w:val="00547FCD"/>
    <w:rsid w:val="005500F3"/>
    <w:rsid w:val="005508AD"/>
    <w:rsid w:val="00550E58"/>
    <w:rsid w:val="005533D7"/>
    <w:rsid w:val="0055354A"/>
    <w:rsid w:val="00554F56"/>
    <w:rsid w:val="005579E9"/>
    <w:rsid w:val="0056114B"/>
    <w:rsid w:val="0056115B"/>
    <w:rsid w:val="005617BC"/>
    <w:rsid w:val="0056180C"/>
    <w:rsid w:val="00561A06"/>
    <w:rsid w:val="005628E5"/>
    <w:rsid w:val="00562940"/>
    <w:rsid w:val="00563FDC"/>
    <w:rsid w:val="00564728"/>
    <w:rsid w:val="00564DB7"/>
    <w:rsid w:val="00565E52"/>
    <w:rsid w:val="00567308"/>
    <w:rsid w:val="005674E5"/>
    <w:rsid w:val="00567A59"/>
    <w:rsid w:val="00567DB8"/>
    <w:rsid w:val="005703DE"/>
    <w:rsid w:val="005706FB"/>
    <w:rsid w:val="00571647"/>
    <w:rsid w:val="00571D49"/>
    <w:rsid w:val="0057256B"/>
    <w:rsid w:val="005725AC"/>
    <w:rsid w:val="005742C4"/>
    <w:rsid w:val="005749B0"/>
    <w:rsid w:val="005749D4"/>
    <w:rsid w:val="005750DD"/>
    <w:rsid w:val="00575DDF"/>
    <w:rsid w:val="00576315"/>
    <w:rsid w:val="0058133D"/>
    <w:rsid w:val="0058261F"/>
    <w:rsid w:val="0058464E"/>
    <w:rsid w:val="00584857"/>
    <w:rsid w:val="005850B7"/>
    <w:rsid w:val="00585DAE"/>
    <w:rsid w:val="005863E1"/>
    <w:rsid w:val="00590B41"/>
    <w:rsid w:val="00590D62"/>
    <w:rsid w:val="005924D3"/>
    <w:rsid w:val="00592AC3"/>
    <w:rsid w:val="00593292"/>
    <w:rsid w:val="005932ED"/>
    <w:rsid w:val="005940D8"/>
    <w:rsid w:val="0059460C"/>
    <w:rsid w:val="00595709"/>
    <w:rsid w:val="00596F07"/>
    <w:rsid w:val="00597DEC"/>
    <w:rsid w:val="005A01CB"/>
    <w:rsid w:val="005A03C5"/>
    <w:rsid w:val="005A04C3"/>
    <w:rsid w:val="005A0EDB"/>
    <w:rsid w:val="005A1A53"/>
    <w:rsid w:val="005A225B"/>
    <w:rsid w:val="005A24F4"/>
    <w:rsid w:val="005A2B59"/>
    <w:rsid w:val="005A372A"/>
    <w:rsid w:val="005A4C58"/>
    <w:rsid w:val="005A58FF"/>
    <w:rsid w:val="005A5EAF"/>
    <w:rsid w:val="005A63C0"/>
    <w:rsid w:val="005A64C0"/>
    <w:rsid w:val="005B0159"/>
    <w:rsid w:val="005B024C"/>
    <w:rsid w:val="005B031B"/>
    <w:rsid w:val="005B10FF"/>
    <w:rsid w:val="005B168C"/>
    <w:rsid w:val="005B17EF"/>
    <w:rsid w:val="005B1D9F"/>
    <w:rsid w:val="005B248B"/>
    <w:rsid w:val="005B3C11"/>
    <w:rsid w:val="005B4612"/>
    <w:rsid w:val="005B4CDF"/>
    <w:rsid w:val="005B6BA8"/>
    <w:rsid w:val="005B7931"/>
    <w:rsid w:val="005B7FE1"/>
    <w:rsid w:val="005C0917"/>
    <w:rsid w:val="005C092E"/>
    <w:rsid w:val="005C161F"/>
    <w:rsid w:val="005C1C28"/>
    <w:rsid w:val="005C2DA6"/>
    <w:rsid w:val="005C3901"/>
    <w:rsid w:val="005C45F6"/>
    <w:rsid w:val="005C47D6"/>
    <w:rsid w:val="005C484B"/>
    <w:rsid w:val="005C4A48"/>
    <w:rsid w:val="005C5AEF"/>
    <w:rsid w:val="005C5CBD"/>
    <w:rsid w:val="005C66FE"/>
    <w:rsid w:val="005C6C87"/>
    <w:rsid w:val="005C6DB5"/>
    <w:rsid w:val="005C6E3A"/>
    <w:rsid w:val="005C7614"/>
    <w:rsid w:val="005C7F44"/>
    <w:rsid w:val="005D05FC"/>
    <w:rsid w:val="005D0602"/>
    <w:rsid w:val="005D1162"/>
    <w:rsid w:val="005D124E"/>
    <w:rsid w:val="005D2B92"/>
    <w:rsid w:val="005D2DA0"/>
    <w:rsid w:val="005D39D7"/>
    <w:rsid w:val="005D528C"/>
    <w:rsid w:val="005D593F"/>
    <w:rsid w:val="005D6503"/>
    <w:rsid w:val="005D695B"/>
    <w:rsid w:val="005D700F"/>
    <w:rsid w:val="005D7A3D"/>
    <w:rsid w:val="005E19E7"/>
    <w:rsid w:val="005E2DFF"/>
    <w:rsid w:val="005E307C"/>
    <w:rsid w:val="005E42D7"/>
    <w:rsid w:val="005E543F"/>
    <w:rsid w:val="005E55B4"/>
    <w:rsid w:val="005E6112"/>
    <w:rsid w:val="005F04BC"/>
    <w:rsid w:val="005F0562"/>
    <w:rsid w:val="005F0A55"/>
    <w:rsid w:val="005F0EB2"/>
    <w:rsid w:val="005F1AD3"/>
    <w:rsid w:val="005F2099"/>
    <w:rsid w:val="005F25FD"/>
    <w:rsid w:val="005F2CB0"/>
    <w:rsid w:val="005F2D74"/>
    <w:rsid w:val="005F3C56"/>
    <w:rsid w:val="005F5458"/>
    <w:rsid w:val="005F58AD"/>
    <w:rsid w:val="005F60C6"/>
    <w:rsid w:val="00600548"/>
    <w:rsid w:val="00600E16"/>
    <w:rsid w:val="00601CC7"/>
    <w:rsid w:val="00601F35"/>
    <w:rsid w:val="00602BDB"/>
    <w:rsid w:val="0060342B"/>
    <w:rsid w:val="006037DD"/>
    <w:rsid w:val="00603C85"/>
    <w:rsid w:val="00604C03"/>
    <w:rsid w:val="00604FFA"/>
    <w:rsid w:val="00606187"/>
    <w:rsid w:val="00606E44"/>
    <w:rsid w:val="00606F1D"/>
    <w:rsid w:val="006071FC"/>
    <w:rsid w:val="00607F81"/>
    <w:rsid w:val="00610219"/>
    <w:rsid w:val="006127FC"/>
    <w:rsid w:val="00614E3A"/>
    <w:rsid w:val="00615268"/>
    <w:rsid w:val="00616B24"/>
    <w:rsid w:val="0061716C"/>
    <w:rsid w:val="006172AB"/>
    <w:rsid w:val="00620579"/>
    <w:rsid w:val="0062149C"/>
    <w:rsid w:val="00623024"/>
    <w:rsid w:val="00623D0B"/>
    <w:rsid w:val="00623FFF"/>
    <w:rsid w:val="006243A1"/>
    <w:rsid w:val="006257CD"/>
    <w:rsid w:val="006261CE"/>
    <w:rsid w:val="006274BB"/>
    <w:rsid w:val="00627BC1"/>
    <w:rsid w:val="00630DF6"/>
    <w:rsid w:val="006314BC"/>
    <w:rsid w:val="00631CA8"/>
    <w:rsid w:val="00632E56"/>
    <w:rsid w:val="006330F1"/>
    <w:rsid w:val="00633556"/>
    <w:rsid w:val="00634A30"/>
    <w:rsid w:val="00634FFA"/>
    <w:rsid w:val="00635977"/>
    <w:rsid w:val="00635C8D"/>
    <w:rsid w:val="00635CBA"/>
    <w:rsid w:val="00637E26"/>
    <w:rsid w:val="00637E29"/>
    <w:rsid w:val="006400AB"/>
    <w:rsid w:val="006417DD"/>
    <w:rsid w:val="0064192E"/>
    <w:rsid w:val="00641987"/>
    <w:rsid w:val="0064338B"/>
    <w:rsid w:val="006434BC"/>
    <w:rsid w:val="00644D54"/>
    <w:rsid w:val="00645494"/>
    <w:rsid w:val="0064570E"/>
    <w:rsid w:val="00646542"/>
    <w:rsid w:val="00646D90"/>
    <w:rsid w:val="006471EC"/>
    <w:rsid w:val="0064737A"/>
    <w:rsid w:val="006504F4"/>
    <w:rsid w:val="00650826"/>
    <w:rsid w:val="00650A4C"/>
    <w:rsid w:val="00652234"/>
    <w:rsid w:val="006523FE"/>
    <w:rsid w:val="00652F28"/>
    <w:rsid w:val="00653D17"/>
    <w:rsid w:val="006547D4"/>
    <w:rsid w:val="0065483C"/>
    <w:rsid w:val="00654B55"/>
    <w:rsid w:val="00654BC9"/>
    <w:rsid w:val="00654E90"/>
    <w:rsid w:val="006552FD"/>
    <w:rsid w:val="00655C0D"/>
    <w:rsid w:val="006561D6"/>
    <w:rsid w:val="00662285"/>
    <w:rsid w:val="006622BD"/>
    <w:rsid w:val="00662FC2"/>
    <w:rsid w:val="00663AF3"/>
    <w:rsid w:val="006667F4"/>
    <w:rsid w:val="00666B6C"/>
    <w:rsid w:val="006674BF"/>
    <w:rsid w:val="00667F15"/>
    <w:rsid w:val="00667F3A"/>
    <w:rsid w:val="00670385"/>
    <w:rsid w:val="00670C0E"/>
    <w:rsid w:val="00670D33"/>
    <w:rsid w:val="0067141A"/>
    <w:rsid w:val="006715DA"/>
    <w:rsid w:val="006719C0"/>
    <w:rsid w:val="00671C16"/>
    <w:rsid w:val="00672132"/>
    <w:rsid w:val="00672F45"/>
    <w:rsid w:val="00674F45"/>
    <w:rsid w:val="006750C5"/>
    <w:rsid w:val="00676B3E"/>
    <w:rsid w:val="00677458"/>
    <w:rsid w:val="006778A0"/>
    <w:rsid w:val="00677C23"/>
    <w:rsid w:val="00681441"/>
    <w:rsid w:val="00681CC9"/>
    <w:rsid w:val="00682682"/>
    <w:rsid w:val="00682702"/>
    <w:rsid w:val="00682DA4"/>
    <w:rsid w:val="00684A93"/>
    <w:rsid w:val="00685055"/>
    <w:rsid w:val="00685B80"/>
    <w:rsid w:val="0068683F"/>
    <w:rsid w:val="00690FE7"/>
    <w:rsid w:val="006912EF"/>
    <w:rsid w:val="00691FAE"/>
    <w:rsid w:val="00692368"/>
    <w:rsid w:val="006924FC"/>
    <w:rsid w:val="00693E5B"/>
    <w:rsid w:val="00694343"/>
    <w:rsid w:val="006945CA"/>
    <w:rsid w:val="00694607"/>
    <w:rsid w:val="0069531D"/>
    <w:rsid w:val="00695330"/>
    <w:rsid w:val="00695353"/>
    <w:rsid w:val="006953B7"/>
    <w:rsid w:val="0069596D"/>
    <w:rsid w:val="006976A7"/>
    <w:rsid w:val="00697954"/>
    <w:rsid w:val="006A05E5"/>
    <w:rsid w:val="006A0B26"/>
    <w:rsid w:val="006A0BBF"/>
    <w:rsid w:val="006A1DC1"/>
    <w:rsid w:val="006A2A24"/>
    <w:rsid w:val="006A2D0D"/>
    <w:rsid w:val="006A2EBC"/>
    <w:rsid w:val="006A3162"/>
    <w:rsid w:val="006A3AD2"/>
    <w:rsid w:val="006A3DDD"/>
    <w:rsid w:val="006A49A8"/>
    <w:rsid w:val="006A5469"/>
    <w:rsid w:val="006A5CD1"/>
    <w:rsid w:val="006A5EA0"/>
    <w:rsid w:val="006A783B"/>
    <w:rsid w:val="006A7AED"/>
    <w:rsid w:val="006A7B33"/>
    <w:rsid w:val="006B0D85"/>
    <w:rsid w:val="006B21D4"/>
    <w:rsid w:val="006B424C"/>
    <w:rsid w:val="006B4E13"/>
    <w:rsid w:val="006B5252"/>
    <w:rsid w:val="006B5513"/>
    <w:rsid w:val="006B581B"/>
    <w:rsid w:val="006B5CCC"/>
    <w:rsid w:val="006B646E"/>
    <w:rsid w:val="006B75DD"/>
    <w:rsid w:val="006B75E9"/>
    <w:rsid w:val="006B7C02"/>
    <w:rsid w:val="006B7DBD"/>
    <w:rsid w:val="006C072C"/>
    <w:rsid w:val="006C08B2"/>
    <w:rsid w:val="006C1BB0"/>
    <w:rsid w:val="006C1FEF"/>
    <w:rsid w:val="006C2552"/>
    <w:rsid w:val="006C25DB"/>
    <w:rsid w:val="006C37AD"/>
    <w:rsid w:val="006C620A"/>
    <w:rsid w:val="006C665A"/>
    <w:rsid w:val="006C67E0"/>
    <w:rsid w:val="006C7265"/>
    <w:rsid w:val="006C7911"/>
    <w:rsid w:val="006C7ABA"/>
    <w:rsid w:val="006D092F"/>
    <w:rsid w:val="006D0CA9"/>
    <w:rsid w:val="006D0D60"/>
    <w:rsid w:val="006D0F37"/>
    <w:rsid w:val="006D1122"/>
    <w:rsid w:val="006D13D4"/>
    <w:rsid w:val="006D1702"/>
    <w:rsid w:val="006D2300"/>
    <w:rsid w:val="006D2731"/>
    <w:rsid w:val="006D2833"/>
    <w:rsid w:val="006D2E09"/>
    <w:rsid w:val="006D39A2"/>
    <w:rsid w:val="006D3C00"/>
    <w:rsid w:val="006D4513"/>
    <w:rsid w:val="006D567E"/>
    <w:rsid w:val="006D58B3"/>
    <w:rsid w:val="006D67D8"/>
    <w:rsid w:val="006E0DEA"/>
    <w:rsid w:val="006E1333"/>
    <w:rsid w:val="006E13E9"/>
    <w:rsid w:val="006E1E98"/>
    <w:rsid w:val="006E3675"/>
    <w:rsid w:val="006E3BB8"/>
    <w:rsid w:val="006E4171"/>
    <w:rsid w:val="006E458B"/>
    <w:rsid w:val="006E47F5"/>
    <w:rsid w:val="006E4A7F"/>
    <w:rsid w:val="006E546F"/>
    <w:rsid w:val="006E5669"/>
    <w:rsid w:val="006E59E7"/>
    <w:rsid w:val="006E6DE7"/>
    <w:rsid w:val="006F1769"/>
    <w:rsid w:val="006F301E"/>
    <w:rsid w:val="006F3B26"/>
    <w:rsid w:val="006F44CD"/>
    <w:rsid w:val="006F5CC1"/>
    <w:rsid w:val="006F78D1"/>
    <w:rsid w:val="00701196"/>
    <w:rsid w:val="00701480"/>
    <w:rsid w:val="00701D6E"/>
    <w:rsid w:val="007039CA"/>
    <w:rsid w:val="00703C4A"/>
    <w:rsid w:val="00703DAA"/>
    <w:rsid w:val="00704224"/>
    <w:rsid w:val="00704DF6"/>
    <w:rsid w:val="00705739"/>
    <w:rsid w:val="00705CB1"/>
    <w:rsid w:val="0070651C"/>
    <w:rsid w:val="00707A37"/>
    <w:rsid w:val="00710F4F"/>
    <w:rsid w:val="0071102B"/>
    <w:rsid w:val="007124A1"/>
    <w:rsid w:val="007132A3"/>
    <w:rsid w:val="00714DFE"/>
    <w:rsid w:val="007157B2"/>
    <w:rsid w:val="00715AC5"/>
    <w:rsid w:val="00716421"/>
    <w:rsid w:val="00717DEC"/>
    <w:rsid w:val="00720D97"/>
    <w:rsid w:val="00721745"/>
    <w:rsid w:val="00722022"/>
    <w:rsid w:val="007227AD"/>
    <w:rsid w:val="00722C95"/>
    <w:rsid w:val="00723C8A"/>
    <w:rsid w:val="0072477A"/>
    <w:rsid w:val="0072495E"/>
    <w:rsid w:val="00724EFB"/>
    <w:rsid w:val="00726CC6"/>
    <w:rsid w:val="00726F0E"/>
    <w:rsid w:val="00730A6E"/>
    <w:rsid w:val="00730C18"/>
    <w:rsid w:val="00731056"/>
    <w:rsid w:val="007313D0"/>
    <w:rsid w:val="0073266C"/>
    <w:rsid w:val="007327CA"/>
    <w:rsid w:val="0073429A"/>
    <w:rsid w:val="00735791"/>
    <w:rsid w:val="00735F50"/>
    <w:rsid w:val="00736078"/>
    <w:rsid w:val="0073648C"/>
    <w:rsid w:val="00736FE6"/>
    <w:rsid w:val="00737274"/>
    <w:rsid w:val="00737DDD"/>
    <w:rsid w:val="007419C3"/>
    <w:rsid w:val="0074414D"/>
    <w:rsid w:val="00745AAC"/>
    <w:rsid w:val="007467A7"/>
    <w:rsid w:val="00746940"/>
    <w:rsid w:val="007469DD"/>
    <w:rsid w:val="007472AE"/>
    <w:rsid w:val="0074741B"/>
    <w:rsid w:val="0074759E"/>
    <w:rsid w:val="0074778F"/>
    <w:rsid w:val="007478EA"/>
    <w:rsid w:val="0075093C"/>
    <w:rsid w:val="00750B2A"/>
    <w:rsid w:val="00750F48"/>
    <w:rsid w:val="00751F0A"/>
    <w:rsid w:val="00752CC3"/>
    <w:rsid w:val="00753AF0"/>
    <w:rsid w:val="0075415C"/>
    <w:rsid w:val="00754599"/>
    <w:rsid w:val="00756C0E"/>
    <w:rsid w:val="007609FE"/>
    <w:rsid w:val="00761775"/>
    <w:rsid w:val="0076203E"/>
    <w:rsid w:val="00763502"/>
    <w:rsid w:val="00763B4F"/>
    <w:rsid w:val="00763F5D"/>
    <w:rsid w:val="00765361"/>
    <w:rsid w:val="00766953"/>
    <w:rsid w:val="007672E9"/>
    <w:rsid w:val="00770950"/>
    <w:rsid w:val="00770C23"/>
    <w:rsid w:val="007713A3"/>
    <w:rsid w:val="00771F02"/>
    <w:rsid w:val="007728C4"/>
    <w:rsid w:val="007733BF"/>
    <w:rsid w:val="00773D94"/>
    <w:rsid w:val="0077440F"/>
    <w:rsid w:val="007746E6"/>
    <w:rsid w:val="007749BF"/>
    <w:rsid w:val="00774B60"/>
    <w:rsid w:val="00775E13"/>
    <w:rsid w:val="00777B4D"/>
    <w:rsid w:val="00781120"/>
    <w:rsid w:val="007813E9"/>
    <w:rsid w:val="0078160A"/>
    <w:rsid w:val="00781AFA"/>
    <w:rsid w:val="00782881"/>
    <w:rsid w:val="00782D4F"/>
    <w:rsid w:val="00782E26"/>
    <w:rsid w:val="007834EB"/>
    <w:rsid w:val="00783D12"/>
    <w:rsid w:val="00783ECE"/>
    <w:rsid w:val="007842FE"/>
    <w:rsid w:val="0078467F"/>
    <w:rsid w:val="00784890"/>
    <w:rsid w:val="007859AB"/>
    <w:rsid w:val="007913AB"/>
    <w:rsid w:val="007914F7"/>
    <w:rsid w:val="00791AF2"/>
    <w:rsid w:val="00791F1A"/>
    <w:rsid w:val="00792605"/>
    <w:rsid w:val="00792BAA"/>
    <w:rsid w:val="00794974"/>
    <w:rsid w:val="007957DD"/>
    <w:rsid w:val="00795E58"/>
    <w:rsid w:val="00796C4A"/>
    <w:rsid w:val="00797841"/>
    <w:rsid w:val="00797AD1"/>
    <w:rsid w:val="00797FB3"/>
    <w:rsid w:val="007A096D"/>
    <w:rsid w:val="007A1798"/>
    <w:rsid w:val="007A1B73"/>
    <w:rsid w:val="007A3336"/>
    <w:rsid w:val="007A7A7C"/>
    <w:rsid w:val="007B01B9"/>
    <w:rsid w:val="007B0A26"/>
    <w:rsid w:val="007B15B3"/>
    <w:rsid w:val="007B1625"/>
    <w:rsid w:val="007B1690"/>
    <w:rsid w:val="007B2550"/>
    <w:rsid w:val="007B706E"/>
    <w:rsid w:val="007B71EB"/>
    <w:rsid w:val="007C0366"/>
    <w:rsid w:val="007C204E"/>
    <w:rsid w:val="007C3382"/>
    <w:rsid w:val="007C4287"/>
    <w:rsid w:val="007C47F8"/>
    <w:rsid w:val="007C4DB6"/>
    <w:rsid w:val="007C5932"/>
    <w:rsid w:val="007C5B4F"/>
    <w:rsid w:val="007C6205"/>
    <w:rsid w:val="007C6568"/>
    <w:rsid w:val="007C6830"/>
    <w:rsid w:val="007C686A"/>
    <w:rsid w:val="007C728E"/>
    <w:rsid w:val="007C78CE"/>
    <w:rsid w:val="007D0919"/>
    <w:rsid w:val="007D0F39"/>
    <w:rsid w:val="007D190C"/>
    <w:rsid w:val="007D1ACF"/>
    <w:rsid w:val="007D1FD3"/>
    <w:rsid w:val="007D2C53"/>
    <w:rsid w:val="007D2DB7"/>
    <w:rsid w:val="007D3D60"/>
    <w:rsid w:val="007D4121"/>
    <w:rsid w:val="007D4490"/>
    <w:rsid w:val="007D657D"/>
    <w:rsid w:val="007D6876"/>
    <w:rsid w:val="007D74A4"/>
    <w:rsid w:val="007D7BE9"/>
    <w:rsid w:val="007E1980"/>
    <w:rsid w:val="007E1AB0"/>
    <w:rsid w:val="007E1C6A"/>
    <w:rsid w:val="007E3DFC"/>
    <w:rsid w:val="007E3F51"/>
    <w:rsid w:val="007E4A0B"/>
    <w:rsid w:val="007E4B76"/>
    <w:rsid w:val="007E53F5"/>
    <w:rsid w:val="007E5EA8"/>
    <w:rsid w:val="007E6683"/>
    <w:rsid w:val="007E6D6E"/>
    <w:rsid w:val="007E7172"/>
    <w:rsid w:val="007F00AC"/>
    <w:rsid w:val="007F0557"/>
    <w:rsid w:val="007F068A"/>
    <w:rsid w:val="007F0BC8"/>
    <w:rsid w:val="007F0CF1"/>
    <w:rsid w:val="007F12A5"/>
    <w:rsid w:val="007F257D"/>
    <w:rsid w:val="007F2885"/>
    <w:rsid w:val="007F2A0D"/>
    <w:rsid w:val="007F32F8"/>
    <w:rsid w:val="007F4CF1"/>
    <w:rsid w:val="007F4F7C"/>
    <w:rsid w:val="007F6B32"/>
    <w:rsid w:val="007F758D"/>
    <w:rsid w:val="007F7BAF"/>
    <w:rsid w:val="007F7D52"/>
    <w:rsid w:val="008006F5"/>
    <w:rsid w:val="00801709"/>
    <w:rsid w:val="0080173F"/>
    <w:rsid w:val="00801758"/>
    <w:rsid w:val="008019A2"/>
    <w:rsid w:val="008028C3"/>
    <w:rsid w:val="00803DE9"/>
    <w:rsid w:val="00804789"/>
    <w:rsid w:val="00804D37"/>
    <w:rsid w:val="008055E5"/>
    <w:rsid w:val="00805FAB"/>
    <w:rsid w:val="0080654C"/>
    <w:rsid w:val="008071C6"/>
    <w:rsid w:val="00807A0E"/>
    <w:rsid w:val="00810540"/>
    <w:rsid w:val="008108B8"/>
    <w:rsid w:val="00811902"/>
    <w:rsid w:val="00811C37"/>
    <w:rsid w:val="0081281F"/>
    <w:rsid w:val="00812A3C"/>
    <w:rsid w:val="0081457D"/>
    <w:rsid w:val="00814649"/>
    <w:rsid w:val="00814B5F"/>
    <w:rsid w:val="00815233"/>
    <w:rsid w:val="008158DA"/>
    <w:rsid w:val="00815D2A"/>
    <w:rsid w:val="008172B4"/>
    <w:rsid w:val="00817A00"/>
    <w:rsid w:val="00817E4D"/>
    <w:rsid w:val="00817F21"/>
    <w:rsid w:val="00817F78"/>
    <w:rsid w:val="00821F5A"/>
    <w:rsid w:val="0082220A"/>
    <w:rsid w:val="00822C62"/>
    <w:rsid w:val="00823EC0"/>
    <w:rsid w:val="0082472F"/>
    <w:rsid w:val="00824CAD"/>
    <w:rsid w:val="00824DFD"/>
    <w:rsid w:val="00826246"/>
    <w:rsid w:val="00827760"/>
    <w:rsid w:val="00830E29"/>
    <w:rsid w:val="00831A42"/>
    <w:rsid w:val="00832933"/>
    <w:rsid w:val="0083443F"/>
    <w:rsid w:val="00835DB3"/>
    <w:rsid w:val="0083617B"/>
    <w:rsid w:val="008371BD"/>
    <w:rsid w:val="008375A1"/>
    <w:rsid w:val="00837C55"/>
    <w:rsid w:val="00841062"/>
    <w:rsid w:val="0084225B"/>
    <w:rsid w:val="008427C3"/>
    <w:rsid w:val="0084422F"/>
    <w:rsid w:val="008446EA"/>
    <w:rsid w:val="008466FE"/>
    <w:rsid w:val="008472E0"/>
    <w:rsid w:val="0084789C"/>
    <w:rsid w:val="008504A8"/>
    <w:rsid w:val="00850F0B"/>
    <w:rsid w:val="00852762"/>
    <w:rsid w:val="0085282E"/>
    <w:rsid w:val="0085296F"/>
    <w:rsid w:val="00854241"/>
    <w:rsid w:val="008549AE"/>
    <w:rsid w:val="00856A76"/>
    <w:rsid w:val="008575CA"/>
    <w:rsid w:val="008601BA"/>
    <w:rsid w:val="008605A5"/>
    <w:rsid w:val="00861329"/>
    <w:rsid w:val="00861C7D"/>
    <w:rsid w:val="00862DB4"/>
    <w:rsid w:val="00863049"/>
    <w:rsid w:val="00863A5C"/>
    <w:rsid w:val="00864064"/>
    <w:rsid w:val="00866438"/>
    <w:rsid w:val="00866781"/>
    <w:rsid w:val="00870DFD"/>
    <w:rsid w:val="0087164A"/>
    <w:rsid w:val="0087198C"/>
    <w:rsid w:val="008726DD"/>
    <w:rsid w:val="00872C1F"/>
    <w:rsid w:val="00872FD7"/>
    <w:rsid w:val="00873A05"/>
    <w:rsid w:val="00873B42"/>
    <w:rsid w:val="008749FC"/>
    <w:rsid w:val="00875CAC"/>
    <w:rsid w:val="00875D86"/>
    <w:rsid w:val="00875E34"/>
    <w:rsid w:val="00876BA8"/>
    <w:rsid w:val="00877B63"/>
    <w:rsid w:val="00880884"/>
    <w:rsid w:val="008808E4"/>
    <w:rsid w:val="00881934"/>
    <w:rsid w:val="008819BA"/>
    <w:rsid w:val="00881AE1"/>
    <w:rsid w:val="00881EE4"/>
    <w:rsid w:val="0088217D"/>
    <w:rsid w:val="00884660"/>
    <w:rsid w:val="00884FD7"/>
    <w:rsid w:val="0088522B"/>
    <w:rsid w:val="008856D8"/>
    <w:rsid w:val="00886913"/>
    <w:rsid w:val="00886B37"/>
    <w:rsid w:val="00887D6B"/>
    <w:rsid w:val="008927F5"/>
    <w:rsid w:val="00892E82"/>
    <w:rsid w:val="00893470"/>
    <w:rsid w:val="008949A2"/>
    <w:rsid w:val="00897538"/>
    <w:rsid w:val="008A065C"/>
    <w:rsid w:val="008A2C06"/>
    <w:rsid w:val="008A2E0E"/>
    <w:rsid w:val="008A322E"/>
    <w:rsid w:val="008A3D17"/>
    <w:rsid w:val="008A3EFE"/>
    <w:rsid w:val="008A4A56"/>
    <w:rsid w:val="008A563F"/>
    <w:rsid w:val="008A5CF6"/>
    <w:rsid w:val="008A5F52"/>
    <w:rsid w:val="008A7AA0"/>
    <w:rsid w:val="008A7EF7"/>
    <w:rsid w:val="008B0260"/>
    <w:rsid w:val="008B0E8F"/>
    <w:rsid w:val="008B12D9"/>
    <w:rsid w:val="008B199E"/>
    <w:rsid w:val="008B217A"/>
    <w:rsid w:val="008B227C"/>
    <w:rsid w:val="008B28F4"/>
    <w:rsid w:val="008B2980"/>
    <w:rsid w:val="008B2B86"/>
    <w:rsid w:val="008B2E00"/>
    <w:rsid w:val="008B343A"/>
    <w:rsid w:val="008B348F"/>
    <w:rsid w:val="008B485A"/>
    <w:rsid w:val="008B56C2"/>
    <w:rsid w:val="008B5830"/>
    <w:rsid w:val="008B609D"/>
    <w:rsid w:val="008B6E21"/>
    <w:rsid w:val="008B70CB"/>
    <w:rsid w:val="008B7844"/>
    <w:rsid w:val="008B7929"/>
    <w:rsid w:val="008C0FF6"/>
    <w:rsid w:val="008C1694"/>
    <w:rsid w:val="008C1B58"/>
    <w:rsid w:val="008C1C10"/>
    <w:rsid w:val="008C1DD8"/>
    <w:rsid w:val="008C31C5"/>
    <w:rsid w:val="008C39AE"/>
    <w:rsid w:val="008C4511"/>
    <w:rsid w:val="008C52AC"/>
    <w:rsid w:val="008C590D"/>
    <w:rsid w:val="008C5D86"/>
    <w:rsid w:val="008C6210"/>
    <w:rsid w:val="008C78AE"/>
    <w:rsid w:val="008C7EB5"/>
    <w:rsid w:val="008D0DAD"/>
    <w:rsid w:val="008D14F8"/>
    <w:rsid w:val="008D2D2C"/>
    <w:rsid w:val="008D2DC9"/>
    <w:rsid w:val="008D37F6"/>
    <w:rsid w:val="008D432B"/>
    <w:rsid w:val="008D45A4"/>
    <w:rsid w:val="008D49E0"/>
    <w:rsid w:val="008D5BD9"/>
    <w:rsid w:val="008D636E"/>
    <w:rsid w:val="008D6D32"/>
    <w:rsid w:val="008D7485"/>
    <w:rsid w:val="008D7E85"/>
    <w:rsid w:val="008E031B"/>
    <w:rsid w:val="008E0C38"/>
    <w:rsid w:val="008E0D5A"/>
    <w:rsid w:val="008E1723"/>
    <w:rsid w:val="008E18BF"/>
    <w:rsid w:val="008E1B91"/>
    <w:rsid w:val="008E24DF"/>
    <w:rsid w:val="008E2D73"/>
    <w:rsid w:val="008E4514"/>
    <w:rsid w:val="008E7029"/>
    <w:rsid w:val="008E7C13"/>
    <w:rsid w:val="008E7DD0"/>
    <w:rsid w:val="008E7EF6"/>
    <w:rsid w:val="008F021B"/>
    <w:rsid w:val="008F02E6"/>
    <w:rsid w:val="008F0C40"/>
    <w:rsid w:val="008F1D37"/>
    <w:rsid w:val="008F1F98"/>
    <w:rsid w:val="008F346E"/>
    <w:rsid w:val="008F3570"/>
    <w:rsid w:val="008F3D2D"/>
    <w:rsid w:val="008F40A1"/>
    <w:rsid w:val="008F5C32"/>
    <w:rsid w:val="008F5E2F"/>
    <w:rsid w:val="008F6758"/>
    <w:rsid w:val="008F7B08"/>
    <w:rsid w:val="00900E9F"/>
    <w:rsid w:val="0090122B"/>
    <w:rsid w:val="009012FE"/>
    <w:rsid w:val="0090156D"/>
    <w:rsid w:val="00901749"/>
    <w:rsid w:val="009019FF"/>
    <w:rsid w:val="009020D6"/>
    <w:rsid w:val="00902DFD"/>
    <w:rsid w:val="00902E8D"/>
    <w:rsid w:val="009039F3"/>
    <w:rsid w:val="00903AED"/>
    <w:rsid w:val="00903EB1"/>
    <w:rsid w:val="009040DD"/>
    <w:rsid w:val="00905B47"/>
    <w:rsid w:val="00906B89"/>
    <w:rsid w:val="009074DA"/>
    <w:rsid w:val="00910011"/>
    <w:rsid w:val="009109AB"/>
    <w:rsid w:val="009124E5"/>
    <w:rsid w:val="00912A7B"/>
    <w:rsid w:val="0091331C"/>
    <w:rsid w:val="009145B4"/>
    <w:rsid w:val="00915498"/>
    <w:rsid w:val="0091676B"/>
    <w:rsid w:val="00916953"/>
    <w:rsid w:val="009176B7"/>
    <w:rsid w:val="00917E41"/>
    <w:rsid w:val="00920B4E"/>
    <w:rsid w:val="00921E20"/>
    <w:rsid w:val="00921EB5"/>
    <w:rsid w:val="00921F07"/>
    <w:rsid w:val="0092236D"/>
    <w:rsid w:val="009228C1"/>
    <w:rsid w:val="00922C42"/>
    <w:rsid w:val="009230F4"/>
    <w:rsid w:val="00924A84"/>
    <w:rsid w:val="00924B5E"/>
    <w:rsid w:val="00924ECD"/>
    <w:rsid w:val="00926126"/>
    <w:rsid w:val="009267FA"/>
    <w:rsid w:val="00926D6D"/>
    <w:rsid w:val="00927552"/>
    <w:rsid w:val="009279DE"/>
    <w:rsid w:val="00927C40"/>
    <w:rsid w:val="00930116"/>
    <w:rsid w:val="00930FA0"/>
    <w:rsid w:val="009322CA"/>
    <w:rsid w:val="00932903"/>
    <w:rsid w:val="009331CA"/>
    <w:rsid w:val="00934894"/>
    <w:rsid w:val="00935D84"/>
    <w:rsid w:val="00936246"/>
    <w:rsid w:val="00941426"/>
    <w:rsid w:val="009414DF"/>
    <w:rsid w:val="00941F33"/>
    <w:rsid w:val="0094212C"/>
    <w:rsid w:val="009421DF"/>
    <w:rsid w:val="009430F8"/>
    <w:rsid w:val="00944032"/>
    <w:rsid w:val="009441F1"/>
    <w:rsid w:val="0094567A"/>
    <w:rsid w:val="009457FD"/>
    <w:rsid w:val="00945F41"/>
    <w:rsid w:val="00947D9A"/>
    <w:rsid w:val="009502DB"/>
    <w:rsid w:val="0095073D"/>
    <w:rsid w:val="00950AE0"/>
    <w:rsid w:val="009514D0"/>
    <w:rsid w:val="00951C46"/>
    <w:rsid w:val="00952044"/>
    <w:rsid w:val="0095313D"/>
    <w:rsid w:val="009537C2"/>
    <w:rsid w:val="009545D9"/>
    <w:rsid w:val="00954689"/>
    <w:rsid w:val="009550F4"/>
    <w:rsid w:val="00955EBC"/>
    <w:rsid w:val="009601C1"/>
    <w:rsid w:val="009617C9"/>
    <w:rsid w:val="00961C93"/>
    <w:rsid w:val="0096231D"/>
    <w:rsid w:val="00962EAA"/>
    <w:rsid w:val="00963373"/>
    <w:rsid w:val="009635FF"/>
    <w:rsid w:val="00963DA8"/>
    <w:rsid w:val="00963E28"/>
    <w:rsid w:val="0096519F"/>
    <w:rsid w:val="009651FE"/>
    <w:rsid w:val="00965324"/>
    <w:rsid w:val="0096610B"/>
    <w:rsid w:val="00966FB6"/>
    <w:rsid w:val="00970151"/>
    <w:rsid w:val="00970338"/>
    <w:rsid w:val="0097091E"/>
    <w:rsid w:val="00970FC6"/>
    <w:rsid w:val="00971354"/>
    <w:rsid w:val="0097230D"/>
    <w:rsid w:val="00972ECE"/>
    <w:rsid w:val="00974827"/>
    <w:rsid w:val="00974DE5"/>
    <w:rsid w:val="009751C6"/>
    <w:rsid w:val="009754DE"/>
    <w:rsid w:val="009760D3"/>
    <w:rsid w:val="00977132"/>
    <w:rsid w:val="00977F73"/>
    <w:rsid w:val="00980607"/>
    <w:rsid w:val="00981A4B"/>
    <w:rsid w:val="00982374"/>
    <w:rsid w:val="00982501"/>
    <w:rsid w:val="009827E2"/>
    <w:rsid w:val="00982A83"/>
    <w:rsid w:val="00982CAA"/>
    <w:rsid w:val="00985120"/>
    <w:rsid w:val="009859BA"/>
    <w:rsid w:val="009869A6"/>
    <w:rsid w:val="009877D3"/>
    <w:rsid w:val="009908BE"/>
    <w:rsid w:val="00990A23"/>
    <w:rsid w:val="00990DA2"/>
    <w:rsid w:val="009910ED"/>
    <w:rsid w:val="009925F5"/>
    <w:rsid w:val="009933AE"/>
    <w:rsid w:val="00993C05"/>
    <w:rsid w:val="009940A4"/>
    <w:rsid w:val="0099486C"/>
    <w:rsid w:val="00994A3C"/>
    <w:rsid w:val="00994E8F"/>
    <w:rsid w:val="00994EF1"/>
    <w:rsid w:val="009951DC"/>
    <w:rsid w:val="009959BB"/>
    <w:rsid w:val="00995A49"/>
    <w:rsid w:val="00997158"/>
    <w:rsid w:val="00997298"/>
    <w:rsid w:val="0099775D"/>
    <w:rsid w:val="00997947"/>
    <w:rsid w:val="00997A1B"/>
    <w:rsid w:val="009A1372"/>
    <w:rsid w:val="009A333B"/>
    <w:rsid w:val="009A3A7C"/>
    <w:rsid w:val="009A3AEF"/>
    <w:rsid w:val="009A67C9"/>
    <w:rsid w:val="009A6E3D"/>
    <w:rsid w:val="009A6F34"/>
    <w:rsid w:val="009A7444"/>
    <w:rsid w:val="009A7BA9"/>
    <w:rsid w:val="009A7DF2"/>
    <w:rsid w:val="009B0B2C"/>
    <w:rsid w:val="009B2ADB"/>
    <w:rsid w:val="009B37B2"/>
    <w:rsid w:val="009B3DC1"/>
    <w:rsid w:val="009B4D09"/>
    <w:rsid w:val="009B4FB3"/>
    <w:rsid w:val="009B59C0"/>
    <w:rsid w:val="009B603A"/>
    <w:rsid w:val="009B67D1"/>
    <w:rsid w:val="009B7B8E"/>
    <w:rsid w:val="009C0454"/>
    <w:rsid w:val="009C087E"/>
    <w:rsid w:val="009C1CA8"/>
    <w:rsid w:val="009C2435"/>
    <w:rsid w:val="009C293B"/>
    <w:rsid w:val="009C2D0E"/>
    <w:rsid w:val="009C3DAC"/>
    <w:rsid w:val="009C42E0"/>
    <w:rsid w:val="009C4A54"/>
    <w:rsid w:val="009C520B"/>
    <w:rsid w:val="009C61DA"/>
    <w:rsid w:val="009C6397"/>
    <w:rsid w:val="009C656E"/>
    <w:rsid w:val="009D2D26"/>
    <w:rsid w:val="009D323F"/>
    <w:rsid w:val="009D4832"/>
    <w:rsid w:val="009D4873"/>
    <w:rsid w:val="009D5033"/>
    <w:rsid w:val="009D5362"/>
    <w:rsid w:val="009D6AAC"/>
    <w:rsid w:val="009D7C48"/>
    <w:rsid w:val="009E1415"/>
    <w:rsid w:val="009E1DAD"/>
    <w:rsid w:val="009E2668"/>
    <w:rsid w:val="009E2AFD"/>
    <w:rsid w:val="009E2BA2"/>
    <w:rsid w:val="009E2BCC"/>
    <w:rsid w:val="009E2CC7"/>
    <w:rsid w:val="009E3E17"/>
    <w:rsid w:val="009E4079"/>
    <w:rsid w:val="009E408F"/>
    <w:rsid w:val="009E49E2"/>
    <w:rsid w:val="009E5632"/>
    <w:rsid w:val="009E585B"/>
    <w:rsid w:val="009E595A"/>
    <w:rsid w:val="009E6116"/>
    <w:rsid w:val="009E7543"/>
    <w:rsid w:val="009E7C4C"/>
    <w:rsid w:val="009F1D84"/>
    <w:rsid w:val="009F47F4"/>
    <w:rsid w:val="009F53EE"/>
    <w:rsid w:val="009F55EE"/>
    <w:rsid w:val="009F5836"/>
    <w:rsid w:val="009F6151"/>
    <w:rsid w:val="009F665A"/>
    <w:rsid w:val="009F66B3"/>
    <w:rsid w:val="009F6C3E"/>
    <w:rsid w:val="00A024D1"/>
    <w:rsid w:val="00A02E43"/>
    <w:rsid w:val="00A03F31"/>
    <w:rsid w:val="00A05C68"/>
    <w:rsid w:val="00A065F9"/>
    <w:rsid w:val="00A06AD9"/>
    <w:rsid w:val="00A06C4D"/>
    <w:rsid w:val="00A06F4D"/>
    <w:rsid w:val="00A07F34"/>
    <w:rsid w:val="00A102AF"/>
    <w:rsid w:val="00A1072E"/>
    <w:rsid w:val="00A114D7"/>
    <w:rsid w:val="00A12D45"/>
    <w:rsid w:val="00A1742E"/>
    <w:rsid w:val="00A175DD"/>
    <w:rsid w:val="00A17720"/>
    <w:rsid w:val="00A2025B"/>
    <w:rsid w:val="00A20A20"/>
    <w:rsid w:val="00A20B0C"/>
    <w:rsid w:val="00A22154"/>
    <w:rsid w:val="00A221B1"/>
    <w:rsid w:val="00A23CA7"/>
    <w:rsid w:val="00A24E59"/>
    <w:rsid w:val="00A257B8"/>
    <w:rsid w:val="00A25C38"/>
    <w:rsid w:val="00A266B0"/>
    <w:rsid w:val="00A30886"/>
    <w:rsid w:val="00A30BFB"/>
    <w:rsid w:val="00A31A8C"/>
    <w:rsid w:val="00A31D8A"/>
    <w:rsid w:val="00A320FF"/>
    <w:rsid w:val="00A3236A"/>
    <w:rsid w:val="00A32B73"/>
    <w:rsid w:val="00A34420"/>
    <w:rsid w:val="00A350AC"/>
    <w:rsid w:val="00A36BBE"/>
    <w:rsid w:val="00A401DD"/>
    <w:rsid w:val="00A40950"/>
    <w:rsid w:val="00A42347"/>
    <w:rsid w:val="00A425C4"/>
    <w:rsid w:val="00A42BAF"/>
    <w:rsid w:val="00A42E15"/>
    <w:rsid w:val="00A4307A"/>
    <w:rsid w:val="00A44530"/>
    <w:rsid w:val="00A44CE6"/>
    <w:rsid w:val="00A44EAA"/>
    <w:rsid w:val="00A457A2"/>
    <w:rsid w:val="00A46B0D"/>
    <w:rsid w:val="00A479CC"/>
    <w:rsid w:val="00A47EBB"/>
    <w:rsid w:val="00A503BD"/>
    <w:rsid w:val="00A50B84"/>
    <w:rsid w:val="00A51CDD"/>
    <w:rsid w:val="00A5227F"/>
    <w:rsid w:val="00A52603"/>
    <w:rsid w:val="00A52A02"/>
    <w:rsid w:val="00A53794"/>
    <w:rsid w:val="00A550F9"/>
    <w:rsid w:val="00A5562B"/>
    <w:rsid w:val="00A55BC3"/>
    <w:rsid w:val="00A56255"/>
    <w:rsid w:val="00A56C8C"/>
    <w:rsid w:val="00A574A9"/>
    <w:rsid w:val="00A57A25"/>
    <w:rsid w:val="00A60551"/>
    <w:rsid w:val="00A6119D"/>
    <w:rsid w:val="00A64546"/>
    <w:rsid w:val="00A64DB8"/>
    <w:rsid w:val="00A64F89"/>
    <w:rsid w:val="00A6537B"/>
    <w:rsid w:val="00A65A58"/>
    <w:rsid w:val="00A65F3D"/>
    <w:rsid w:val="00A6608E"/>
    <w:rsid w:val="00A6730D"/>
    <w:rsid w:val="00A7071F"/>
    <w:rsid w:val="00A71132"/>
    <w:rsid w:val="00A71320"/>
    <w:rsid w:val="00A71625"/>
    <w:rsid w:val="00A71690"/>
    <w:rsid w:val="00A718D9"/>
    <w:rsid w:val="00A71B9B"/>
    <w:rsid w:val="00A72F6A"/>
    <w:rsid w:val="00A731DB"/>
    <w:rsid w:val="00A734F2"/>
    <w:rsid w:val="00A73B3F"/>
    <w:rsid w:val="00A751C7"/>
    <w:rsid w:val="00A75692"/>
    <w:rsid w:val="00A7661B"/>
    <w:rsid w:val="00A76B3E"/>
    <w:rsid w:val="00A76CA5"/>
    <w:rsid w:val="00A82999"/>
    <w:rsid w:val="00A83943"/>
    <w:rsid w:val="00A83F9C"/>
    <w:rsid w:val="00A84C93"/>
    <w:rsid w:val="00A8529A"/>
    <w:rsid w:val="00A8543E"/>
    <w:rsid w:val="00A86CF5"/>
    <w:rsid w:val="00A8703F"/>
    <w:rsid w:val="00A87844"/>
    <w:rsid w:val="00A87CDB"/>
    <w:rsid w:val="00A90741"/>
    <w:rsid w:val="00A907EB"/>
    <w:rsid w:val="00A90E7D"/>
    <w:rsid w:val="00A91BB7"/>
    <w:rsid w:val="00A921E2"/>
    <w:rsid w:val="00A92EE2"/>
    <w:rsid w:val="00A949E4"/>
    <w:rsid w:val="00A955C2"/>
    <w:rsid w:val="00A95964"/>
    <w:rsid w:val="00A95A1E"/>
    <w:rsid w:val="00A9667A"/>
    <w:rsid w:val="00A966BA"/>
    <w:rsid w:val="00A97888"/>
    <w:rsid w:val="00AA038C"/>
    <w:rsid w:val="00AA0F21"/>
    <w:rsid w:val="00AA0FB2"/>
    <w:rsid w:val="00AA102D"/>
    <w:rsid w:val="00AA19AB"/>
    <w:rsid w:val="00AA1E43"/>
    <w:rsid w:val="00AA232B"/>
    <w:rsid w:val="00AA2569"/>
    <w:rsid w:val="00AA3075"/>
    <w:rsid w:val="00AA50B3"/>
    <w:rsid w:val="00AA52EA"/>
    <w:rsid w:val="00AA63A7"/>
    <w:rsid w:val="00AA65A0"/>
    <w:rsid w:val="00AA7A09"/>
    <w:rsid w:val="00AB1066"/>
    <w:rsid w:val="00AB1B70"/>
    <w:rsid w:val="00AB23FE"/>
    <w:rsid w:val="00AB31ED"/>
    <w:rsid w:val="00AB3B50"/>
    <w:rsid w:val="00AB5403"/>
    <w:rsid w:val="00AB5861"/>
    <w:rsid w:val="00AB6BC3"/>
    <w:rsid w:val="00AB7CB8"/>
    <w:rsid w:val="00AB7CE0"/>
    <w:rsid w:val="00AB7DAF"/>
    <w:rsid w:val="00AC05B1"/>
    <w:rsid w:val="00AC1F1B"/>
    <w:rsid w:val="00AC2319"/>
    <w:rsid w:val="00AC43CB"/>
    <w:rsid w:val="00AC5D97"/>
    <w:rsid w:val="00AC747C"/>
    <w:rsid w:val="00AC7955"/>
    <w:rsid w:val="00AC7CC9"/>
    <w:rsid w:val="00AD0B40"/>
    <w:rsid w:val="00AD356C"/>
    <w:rsid w:val="00AD35E7"/>
    <w:rsid w:val="00AD3C33"/>
    <w:rsid w:val="00AD3DAF"/>
    <w:rsid w:val="00AD424B"/>
    <w:rsid w:val="00AD4372"/>
    <w:rsid w:val="00AD483C"/>
    <w:rsid w:val="00AD630A"/>
    <w:rsid w:val="00AD6858"/>
    <w:rsid w:val="00AD7177"/>
    <w:rsid w:val="00AD7373"/>
    <w:rsid w:val="00AE0BCA"/>
    <w:rsid w:val="00AE0F55"/>
    <w:rsid w:val="00AE18F3"/>
    <w:rsid w:val="00AE1F04"/>
    <w:rsid w:val="00AE2225"/>
    <w:rsid w:val="00AE2914"/>
    <w:rsid w:val="00AE3144"/>
    <w:rsid w:val="00AE3170"/>
    <w:rsid w:val="00AE3296"/>
    <w:rsid w:val="00AE3806"/>
    <w:rsid w:val="00AE3A5A"/>
    <w:rsid w:val="00AE4699"/>
    <w:rsid w:val="00AE473B"/>
    <w:rsid w:val="00AE6B81"/>
    <w:rsid w:val="00AE6D15"/>
    <w:rsid w:val="00AE6FF6"/>
    <w:rsid w:val="00AF0B80"/>
    <w:rsid w:val="00AF10E8"/>
    <w:rsid w:val="00AF12E0"/>
    <w:rsid w:val="00AF1542"/>
    <w:rsid w:val="00AF1871"/>
    <w:rsid w:val="00AF1AA0"/>
    <w:rsid w:val="00AF222C"/>
    <w:rsid w:val="00AF2BCC"/>
    <w:rsid w:val="00AF2E95"/>
    <w:rsid w:val="00AF37BD"/>
    <w:rsid w:val="00AF3A11"/>
    <w:rsid w:val="00AF400B"/>
    <w:rsid w:val="00AF497F"/>
    <w:rsid w:val="00AF51C4"/>
    <w:rsid w:val="00AF52D1"/>
    <w:rsid w:val="00B0039D"/>
    <w:rsid w:val="00B00E4A"/>
    <w:rsid w:val="00B011D9"/>
    <w:rsid w:val="00B018A1"/>
    <w:rsid w:val="00B01F76"/>
    <w:rsid w:val="00B02E7E"/>
    <w:rsid w:val="00B0414A"/>
    <w:rsid w:val="00B04182"/>
    <w:rsid w:val="00B04B31"/>
    <w:rsid w:val="00B057B8"/>
    <w:rsid w:val="00B07AE3"/>
    <w:rsid w:val="00B07C36"/>
    <w:rsid w:val="00B10444"/>
    <w:rsid w:val="00B10800"/>
    <w:rsid w:val="00B108A2"/>
    <w:rsid w:val="00B10C8B"/>
    <w:rsid w:val="00B11430"/>
    <w:rsid w:val="00B115B2"/>
    <w:rsid w:val="00B12034"/>
    <w:rsid w:val="00B123F8"/>
    <w:rsid w:val="00B12521"/>
    <w:rsid w:val="00B12615"/>
    <w:rsid w:val="00B1360F"/>
    <w:rsid w:val="00B137EB"/>
    <w:rsid w:val="00B140C1"/>
    <w:rsid w:val="00B15A04"/>
    <w:rsid w:val="00B15BC9"/>
    <w:rsid w:val="00B1686F"/>
    <w:rsid w:val="00B175F2"/>
    <w:rsid w:val="00B175FD"/>
    <w:rsid w:val="00B20283"/>
    <w:rsid w:val="00B209A6"/>
    <w:rsid w:val="00B22CAD"/>
    <w:rsid w:val="00B22EA5"/>
    <w:rsid w:val="00B24FDB"/>
    <w:rsid w:val="00B255FD"/>
    <w:rsid w:val="00B27444"/>
    <w:rsid w:val="00B27DEB"/>
    <w:rsid w:val="00B30608"/>
    <w:rsid w:val="00B321F4"/>
    <w:rsid w:val="00B32427"/>
    <w:rsid w:val="00B3457A"/>
    <w:rsid w:val="00B353EB"/>
    <w:rsid w:val="00B361B7"/>
    <w:rsid w:val="00B3647C"/>
    <w:rsid w:val="00B36D8D"/>
    <w:rsid w:val="00B40BA3"/>
    <w:rsid w:val="00B40E3E"/>
    <w:rsid w:val="00B4122E"/>
    <w:rsid w:val="00B4136E"/>
    <w:rsid w:val="00B41F48"/>
    <w:rsid w:val="00B43045"/>
    <w:rsid w:val="00B43864"/>
    <w:rsid w:val="00B439C4"/>
    <w:rsid w:val="00B4444D"/>
    <w:rsid w:val="00B44715"/>
    <w:rsid w:val="00B44CD1"/>
    <w:rsid w:val="00B4535E"/>
    <w:rsid w:val="00B465A3"/>
    <w:rsid w:val="00B4765A"/>
    <w:rsid w:val="00B5149C"/>
    <w:rsid w:val="00B5271F"/>
    <w:rsid w:val="00B52749"/>
    <w:rsid w:val="00B52A8C"/>
    <w:rsid w:val="00B53921"/>
    <w:rsid w:val="00B5489C"/>
    <w:rsid w:val="00B549B4"/>
    <w:rsid w:val="00B55D6D"/>
    <w:rsid w:val="00B56C70"/>
    <w:rsid w:val="00B57D49"/>
    <w:rsid w:val="00B60129"/>
    <w:rsid w:val="00B60EF1"/>
    <w:rsid w:val="00B62365"/>
    <w:rsid w:val="00B6283B"/>
    <w:rsid w:val="00B62C55"/>
    <w:rsid w:val="00B63679"/>
    <w:rsid w:val="00B636A8"/>
    <w:rsid w:val="00B63BC7"/>
    <w:rsid w:val="00B643BB"/>
    <w:rsid w:val="00B64A45"/>
    <w:rsid w:val="00B6536B"/>
    <w:rsid w:val="00B66113"/>
    <w:rsid w:val="00B66439"/>
    <w:rsid w:val="00B665C6"/>
    <w:rsid w:val="00B66B8C"/>
    <w:rsid w:val="00B70A27"/>
    <w:rsid w:val="00B7120D"/>
    <w:rsid w:val="00B71554"/>
    <w:rsid w:val="00B73115"/>
    <w:rsid w:val="00B73E48"/>
    <w:rsid w:val="00B747CF"/>
    <w:rsid w:val="00B76692"/>
    <w:rsid w:val="00B7683B"/>
    <w:rsid w:val="00B80233"/>
    <w:rsid w:val="00B8048B"/>
    <w:rsid w:val="00B805AF"/>
    <w:rsid w:val="00B80BF9"/>
    <w:rsid w:val="00B810DE"/>
    <w:rsid w:val="00B8134C"/>
    <w:rsid w:val="00B82296"/>
    <w:rsid w:val="00B82336"/>
    <w:rsid w:val="00B830E1"/>
    <w:rsid w:val="00B84108"/>
    <w:rsid w:val="00B85454"/>
    <w:rsid w:val="00B855D0"/>
    <w:rsid w:val="00B8595C"/>
    <w:rsid w:val="00B867A6"/>
    <w:rsid w:val="00B869EC"/>
    <w:rsid w:val="00B91DC2"/>
    <w:rsid w:val="00B91E00"/>
    <w:rsid w:val="00B93074"/>
    <w:rsid w:val="00B932BD"/>
    <w:rsid w:val="00B93740"/>
    <w:rsid w:val="00B93944"/>
    <w:rsid w:val="00B9397A"/>
    <w:rsid w:val="00B93EFC"/>
    <w:rsid w:val="00B94372"/>
    <w:rsid w:val="00B94AD3"/>
    <w:rsid w:val="00B95A66"/>
    <w:rsid w:val="00B95C1A"/>
    <w:rsid w:val="00B9633D"/>
    <w:rsid w:val="00B97364"/>
    <w:rsid w:val="00B97C55"/>
    <w:rsid w:val="00BA1143"/>
    <w:rsid w:val="00BA1A9B"/>
    <w:rsid w:val="00BA22E4"/>
    <w:rsid w:val="00BA2EBE"/>
    <w:rsid w:val="00BA3024"/>
    <w:rsid w:val="00BA3A72"/>
    <w:rsid w:val="00BA4485"/>
    <w:rsid w:val="00BA4B0F"/>
    <w:rsid w:val="00BA4F00"/>
    <w:rsid w:val="00BA63DD"/>
    <w:rsid w:val="00BA69B1"/>
    <w:rsid w:val="00BA7A07"/>
    <w:rsid w:val="00BA7CC2"/>
    <w:rsid w:val="00BB01C7"/>
    <w:rsid w:val="00BB0531"/>
    <w:rsid w:val="00BB0F28"/>
    <w:rsid w:val="00BB203B"/>
    <w:rsid w:val="00BB2D41"/>
    <w:rsid w:val="00BB4245"/>
    <w:rsid w:val="00BB435C"/>
    <w:rsid w:val="00BB43AE"/>
    <w:rsid w:val="00BB458A"/>
    <w:rsid w:val="00BB6227"/>
    <w:rsid w:val="00BB71A9"/>
    <w:rsid w:val="00BB7E3E"/>
    <w:rsid w:val="00BC1DDD"/>
    <w:rsid w:val="00BC25C2"/>
    <w:rsid w:val="00BC27EB"/>
    <w:rsid w:val="00BC2D41"/>
    <w:rsid w:val="00BC2D43"/>
    <w:rsid w:val="00BC397C"/>
    <w:rsid w:val="00BC3E29"/>
    <w:rsid w:val="00BC4678"/>
    <w:rsid w:val="00BC4FED"/>
    <w:rsid w:val="00BC5CFC"/>
    <w:rsid w:val="00BC624D"/>
    <w:rsid w:val="00BC67B2"/>
    <w:rsid w:val="00BC79B9"/>
    <w:rsid w:val="00BD00D3"/>
    <w:rsid w:val="00BD104B"/>
    <w:rsid w:val="00BD1659"/>
    <w:rsid w:val="00BD3AA9"/>
    <w:rsid w:val="00BD4A18"/>
    <w:rsid w:val="00BD6DB2"/>
    <w:rsid w:val="00BD7A22"/>
    <w:rsid w:val="00BE04BF"/>
    <w:rsid w:val="00BE11CF"/>
    <w:rsid w:val="00BE21AB"/>
    <w:rsid w:val="00BE43E5"/>
    <w:rsid w:val="00BE4CD5"/>
    <w:rsid w:val="00BE55CB"/>
    <w:rsid w:val="00BE78D7"/>
    <w:rsid w:val="00BF01C7"/>
    <w:rsid w:val="00BF070C"/>
    <w:rsid w:val="00BF10A1"/>
    <w:rsid w:val="00BF11A7"/>
    <w:rsid w:val="00BF192E"/>
    <w:rsid w:val="00BF4355"/>
    <w:rsid w:val="00BF4A5B"/>
    <w:rsid w:val="00BF617A"/>
    <w:rsid w:val="00BF654B"/>
    <w:rsid w:val="00BF725C"/>
    <w:rsid w:val="00BF7979"/>
    <w:rsid w:val="00BF7DA4"/>
    <w:rsid w:val="00C00C4B"/>
    <w:rsid w:val="00C011A9"/>
    <w:rsid w:val="00C018AC"/>
    <w:rsid w:val="00C028DB"/>
    <w:rsid w:val="00C0379D"/>
    <w:rsid w:val="00C03931"/>
    <w:rsid w:val="00C05863"/>
    <w:rsid w:val="00C05FE3"/>
    <w:rsid w:val="00C06EBF"/>
    <w:rsid w:val="00C11C41"/>
    <w:rsid w:val="00C12149"/>
    <w:rsid w:val="00C138C2"/>
    <w:rsid w:val="00C13AAD"/>
    <w:rsid w:val="00C14755"/>
    <w:rsid w:val="00C166FE"/>
    <w:rsid w:val="00C16796"/>
    <w:rsid w:val="00C16A8C"/>
    <w:rsid w:val="00C206FA"/>
    <w:rsid w:val="00C2136D"/>
    <w:rsid w:val="00C214EE"/>
    <w:rsid w:val="00C21C81"/>
    <w:rsid w:val="00C21CD3"/>
    <w:rsid w:val="00C221F5"/>
    <w:rsid w:val="00C22D13"/>
    <w:rsid w:val="00C22EA5"/>
    <w:rsid w:val="00C2314B"/>
    <w:rsid w:val="00C236F4"/>
    <w:rsid w:val="00C23A57"/>
    <w:rsid w:val="00C23B10"/>
    <w:rsid w:val="00C23C3C"/>
    <w:rsid w:val="00C2438A"/>
    <w:rsid w:val="00C24971"/>
    <w:rsid w:val="00C256E9"/>
    <w:rsid w:val="00C25AC0"/>
    <w:rsid w:val="00C25BD9"/>
    <w:rsid w:val="00C26BE5"/>
    <w:rsid w:val="00C26E4D"/>
    <w:rsid w:val="00C276A3"/>
    <w:rsid w:val="00C27909"/>
    <w:rsid w:val="00C27B03"/>
    <w:rsid w:val="00C27FF5"/>
    <w:rsid w:val="00C31276"/>
    <w:rsid w:val="00C3146A"/>
    <w:rsid w:val="00C314E1"/>
    <w:rsid w:val="00C31BD9"/>
    <w:rsid w:val="00C31F51"/>
    <w:rsid w:val="00C3215B"/>
    <w:rsid w:val="00C323A4"/>
    <w:rsid w:val="00C323B8"/>
    <w:rsid w:val="00C32A50"/>
    <w:rsid w:val="00C3323A"/>
    <w:rsid w:val="00C34397"/>
    <w:rsid w:val="00C345A3"/>
    <w:rsid w:val="00C36B53"/>
    <w:rsid w:val="00C36F50"/>
    <w:rsid w:val="00C4095D"/>
    <w:rsid w:val="00C4155D"/>
    <w:rsid w:val="00C416CD"/>
    <w:rsid w:val="00C41DFC"/>
    <w:rsid w:val="00C42457"/>
    <w:rsid w:val="00C434F3"/>
    <w:rsid w:val="00C43627"/>
    <w:rsid w:val="00C44AF6"/>
    <w:rsid w:val="00C45853"/>
    <w:rsid w:val="00C4758C"/>
    <w:rsid w:val="00C51BCA"/>
    <w:rsid w:val="00C51FB7"/>
    <w:rsid w:val="00C54432"/>
    <w:rsid w:val="00C547AF"/>
    <w:rsid w:val="00C54B1F"/>
    <w:rsid w:val="00C550B6"/>
    <w:rsid w:val="00C55F5F"/>
    <w:rsid w:val="00C5687A"/>
    <w:rsid w:val="00C57C21"/>
    <w:rsid w:val="00C601D2"/>
    <w:rsid w:val="00C60E3F"/>
    <w:rsid w:val="00C627F7"/>
    <w:rsid w:val="00C62B34"/>
    <w:rsid w:val="00C62C4B"/>
    <w:rsid w:val="00C62FE1"/>
    <w:rsid w:val="00C6328F"/>
    <w:rsid w:val="00C63403"/>
    <w:rsid w:val="00C65667"/>
    <w:rsid w:val="00C65BCC"/>
    <w:rsid w:val="00C663D2"/>
    <w:rsid w:val="00C66970"/>
    <w:rsid w:val="00C716AA"/>
    <w:rsid w:val="00C7274D"/>
    <w:rsid w:val="00C7319A"/>
    <w:rsid w:val="00C7370F"/>
    <w:rsid w:val="00C73885"/>
    <w:rsid w:val="00C74786"/>
    <w:rsid w:val="00C74A1B"/>
    <w:rsid w:val="00C75543"/>
    <w:rsid w:val="00C8032D"/>
    <w:rsid w:val="00C80500"/>
    <w:rsid w:val="00C808E0"/>
    <w:rsid w:val="00C81888"/>
    <w:rsid w:val="00C82482"/>
    <w:rsid w:val="00C82B38"/>
    <w:rsid w:val="00C82FC4"/>
    <w:rsid w:val="00C83DF7"/>
    <w:rsid w:val="00C845A2"/>
    <w:rsid w:val="00C84851"/>
    <w:rsid w:val="00C84C10"/>
    <w:rsid w:val="00C857E9"/>
    <w:rsid w:val="00C8691C"/>
    <w:rsid w:val="00C86A9D"/>
    <w:rsid w:val="00C87321"/>
    <w:rsid w:val="00C87699"/>
    <w:rsid w:val="00C91924"/>
    <w:rsid w:val="00C92805"/>
    <w:rsid w:val="00C933B8"/>
    <w:rsid w:val="00C946BF"/>
    <w:rsid w:val="00C94B69"/>
    <w:rsid w:val="00C94C75"/>
    <w:rsid w:val="00C962E8"/>
    <w:rsid w:val="00C9655A"/>
    <w:rsid w:val="00C968DA"/>
    <w:rsid w:val="00CA0D56"/>
    <w:rsid w:val="00CA168A"/>
    <w:rsid w:val="00CA3157"/>
    <w:rsid w:val="00CA357E"/>
    <w:rsid w:val="00CA44F9"/>
    <w:rsid w:val="00CA4755"/>
    <w:rsid w:val="00CA4A69"/>
    <w:rsid w:val="00CA4C9A"/>
    <w:rsid w:val="00CB0686"/>
    <w:rsid w:val="00CB1143"/>
    <w:rsid w:val="00CB252F"/>
    <w:rsid w:val="00CB3195"/>
    <w:rsid w:val="00CB33A2"/>
    <w:rsid w:val="00CB4569"/>
    <w:rsid w:val="00CB4EEE"/>
    <w:rsid w:val="00CB4EF4"/>
    <w:rsid w:val="00CB5968"/>
    <w:rsid w:val="00CB6FC2"/>
    <w:rsid w:val="00CB756D"/>
    <w:rsid w:val="00CC00BC"/>
    <w:rsid w:val="00CC050E"/>
    <w:rsid w:val="00CC1C35"/>
    <w:rsid w:val="00CC1E69"/>
    <w:rsid w:val="00CC24BD"/>
    <w:rsid w:val="00CC32FA"/>
    <w:rsid w:val="00CC3415"/>
    <w:rsid w:val="00CC3E0C"/>
    <w:rsid w:val="00CC4805"/>
    <w:rsid w:val="00CC4F00"/>
    <w:rsid w:val="00CC50D3"/>
    <w:rsid w:val="00CC58D3"/>
    <w:rsid w:val="00CC5D5F"/>
    <w:rsid w:val="00CC5E2D"/>
    <w:rsid w:val="00CC6578"/>
    <w:rsid w:val="00CC676E"/>
    <w:rsid w:val="00CC784D"/>
    <w:rsid w:val="00CD0AD0"/>
    <w:rsid w:val="00CD0F34"/>
    <w:rsid w:val="00CD1870"/>
    <w:rsid w:val="00CD1F73"/>
    <w:rsid w:val="00CD38F1"/>
    <w:rsid w:val="00CD4200"/>
    <w:rsid w:val="00CD43EF"/>
    <w:rsid w:val="00CD4FF6"/>
    <w:rsid w:val="00CD5E44"/>
    <w:rsid w:val="00CD7A1B"/>
    <w:rsid w:val="00CD7BCE"/>
    <w:rsid w:val="00CE04C4"/>
    <w:rsid w:val="00CE08CB"/>
    <w:rsid w:val="00CE0CF2"/>
    <w:rsid w:val="00CE0F42"/>
    <w:rsid w:val="00CE0F56"/>
    <w:rsid w:val="00CE1461"/>
    <w:rsid w:val="00CE4416"/>
    <w:rsid w:val="00CE5AA5"/>
    <w:rsid w:val="00CE5DAE"/>
    <w:rsid w:val="00CE635E"/>
    <w:rsid w:val="00CE6677"/>
    <w:rsid w:val="00CE6E33"/>
    <w:rsid w:val="00CE71CD"/>
    <w:rsid w:val="00CE79CC"/>
    <w:rsid w:val="00CF0287"/>
    <w:rsid w:val="00CF0C02"/>
    <w:rsid w:val="00CF17BD"/>
    <w:rsid w:val="00CF25D4"/>
    <w:rsid w:val="00CF2E7E"/>
    <w:rsid w:val="00CF396B"/>
    <w:rsid w:val="00CF694F"/>
    <w:rsid w:val="00CF7BCF"/>
    <w:rsid w:val="00D00244"/>
    <w:rsid w:val="00D00950"/>
    <w:rsid w:val="00D01793"/>
    <w:rsid w:val="00D01B70"/>
    <w:rsid w:val="00D02243"/>
    <w:rsid w:val="00D030D8"/>
    <w:rsid w:val="00D0337B"/>
    <w:rsid w:val="00D03601"/>
    <w:rsid w:val="00D04B8F"/>
    <w:rsid w:val="00D05354"/>
    <w:rsid w:val="00D06D6A"/>
    <w:rsid w:val="00D070E5"/>
    <w:rsid w:val="00D079B2"/>
    <w:rsid w:val="00D10356"/>
    <w:rsid w:val="00D105E8"/>
    <w:rsid w:val="00D10633"/>
    <w:rsid w:val="00D108D2"/>
    <w:rsid w:val="00D114E9"/>
    <w:rsid w:val="00D11D43"/>
    <w:rsid w:val="00D126D1"/>
    <w:rsid w:val="00D12D41"/>
    <w:rsid w:val="00D12D69"/>
    <w:rsid w:val="00D151C5"/>
    <w:rsid w:val="00D15B4E"/>
    <w:rsid w:val="00D16838"/>
    <w:rsid w:val="00D16E0E"/>
    <w:rsid w:val="00D176C9"/>
    <w:rsid w:val="00D205B4"/>
    <w:rsid w:val="00D20F50"/>
    <w:rsid w:val="00D21130"/>
    <w:rsid w:val="00D2187A"/>
    <w:rsid w:val="00D221CB"/>
    <w:rsid w:val="00D2238F"/>
    <w:rsid w:val="00D22A02"/>
    <w:rsid w:val="00D22BC6"/>
    <w:rsid w:val="00D22D9E"/>
    <w:rsid w:val="00D23F9B"/>
    <w:rsid w:val="00D25A97"/>
    <w:rsid w:val="00D25C58"/>
    <w:rsid w:val="00D271F8"/>
    <w:rsid w:val="00D31741"/>
    <w:rsid w:val="00D31930"/>
    <w:rsid w:val="00D319D4"/>
    <w:rsid w:val="00D324E2"/>
    <w:rsid w:val="00D32542"/>
    <w:rsid w:val="00D32B02"/>
    <w:rsid w:val="00D32BDD"/>
    <w:rsid w:val="00D33133"/>
    <w:rsid w:val="00D3357F"/>
    <w:rsid w:val="00D337A6"/>
    <w:rsid w:val="00D337CD"/>
    <w:rsid w:val="00D33F2B"/>
    <w:rsid w:val="00D341B9"/>
    <w:rsid w:val="00D35558"/>
    <w:rsid w:val="00D3684A"/>
    <w:rsid w:val="00D37FC4"/>
    <w:rsid w:val="00D4044B"/>
    <w:rsid w:val="00D4079C"/>
    <w:rsid w:val="00D409C3"/>
    <w:rsid w:val="00D4172F"/>
    <w:rsid w:val="00D41E68"/>
    <w:rsid w:val="00D429C6"/>
    <w:rsid w:val="00D444EF"/>
    <w:rsid w:val="00D44ADA"/>
    <w:rsid w:val="00D44EA4"/>
    <w:rsid w:val="00D455EF"/>
    <w:rsid w:val="00D456E9"/>
    <w:rsid w:val="00D47179"/>
    <w:rsid w:val="00D474EE"/>
    <w:rsid w:val="00D47748"/>
    <w:rsid w:val="00D47D82"/>
    <w:rsid w:val="00D500D8"/>
    <w:rsid w:val="00D5038B"/>
    <w:rsid w:val="00D51458"/>
    <w:rsid w:val="00D522B5"/>
    <w:rsid w:val="00D52D76"/>
    <w:rsid w:val="00D53DFF"/>
    <w:rsid w:val="00D547D6"/>
    <w:rsid w:val="00D54CC3"/>
    <w:rsid w:val="00D5587F"/>
    <w:rsid w:val="00D567FA"/>
    <w:rsid w:val="00D60114"/>
    <w:rsid w:val="00D6041A"/>
    <w:rsid w:val="00D61968"/>
    <w:rsid w:val="00D61ADB"/>
    <w:rsid w:val="00D62AD5"/>
    <w:rsid w:val="00D633EB"/>
    <w:rsid w:val="00D637E4"/>
    <w:rsid w:val="00D638C1"/>
    <w:rsid w:val="00D65F51"/>
    <w:rsid w:val="00D66A2A"/>
    <w:rsid w:val="00D7068E"/>
    <w:rsid w:val="00D70937"/>
    <w:rsid w:val="00D70F95"/>
    <w:rsid w:val="00D7102C"/>
    <w:rsid w:val="00D7161E"/>
    <w:rsid w:val="00D71D86"/>
    <w:rsid w:val="00D721C9"/>
    <w:rsid w:val="00D72C59"/>
    <w:rsid w:val="00D745C7"/>
    <w:rsid w:val="00D74B44"/>
    <w:rsid w:val="00D75460"/>
    <w:rsid w:val="00D75757"/>
    <w:rsid w:val="00D77E5C"/>
    <w:rsid w:val="00D80949"/>
    <w:rsid w:val="00D8149F"/>
    <w:rsid w:val="00D81C46"/>
    <w:rsid w:val="00D82567"/>
    <w:rsid w:val="00D82CF2"/>
    <w:rsid w:val="00D82FF7"/>
    <w:rsid w:val="00D83947"/>
    <w:rsid w:val="00D839A4"/>
    <w:rsid w:val="00D83EFA"/>
    <w:rsid w:val="00D8420A"/>
    <w:rsid w:val="00D847FE"/>
    <w:rsid w:val="00D85860"/>
    <w:rsid w:val="00D8618D"/>
    <w:rsid w:val="00D867A7"/>
    <w:rsid w:val="00D86811"/>
    <w:rsid w:val="00D87755"/>
    <w:rsid w:val="00D91550"/>
    <w:rsid w:val="00D92DEF"/>
    <w:rsid w:val="00D931FF"/>
    <w:rsid w:val="00D93251"/>
    <w:rsid w:val="00D93A46"/>
    <w:rsid w:val="00D94979"/>
    <w:rsid w:val="00D94C8A"/>
    <w:rsid w:val="00D964EA"/>
    <w:rsid w:val="00D966D0"/>
    <w:rsid w:val="00D96B14"/>
    <w:rsid w:val="00D9720E"/>
    <w:rsid w:val="00D97476"/>
    <w:rsid w:val="00D97B72"/>
    <w:rsid w:val="00DA0C59"/>
    <w:rsid w:val="00DA10A5"/>
    <w:rsid w:val="00DA1C69"/>
    <w:rsid w:val="00DA2E9C"/>
    <w:rsid w:val="00DA3313"/>
    <w:rsid w:val="00DA3991"/>
    <w:rsid w:val="00DA476B"/>
    <w:rsid w:val="00DA7093"/>
    <w:rsid w:val="00DA765A"/>
    <w:rsid w:val="00DA7AAE"/>
    <w:rsid w:val="00DB284F"/>
    <w:rsid w:val="00DB4155"/>
    <w:rsid w:val="00DB4998"/>
    <w:rsid w:val="00DB49E8"/>
    <w:rsid w:val="00DB4EAC"/>
    <w:rsid w:val="00DB5962"/>
    <w:rsid w:val="00DB77A3"/>
    <w:rsid w:val="00DB7D33"/>
    <w:rsid w:val="00DB7E6C"/>
    <w:rsid w:val="00DC0D69"/>
    <w:rsid w:val="00DC176F"/>
    <w:rsid w:val="00DC1A8B"/>
    <w:rsid w:val="00DC1C32"/>
    <w:rsid w:val="00DC1C74"/>
    <w:rsid w:val="00DC26F0"/>
    <w:rsid w:val="00DC2B2C"/>
    <w:rsid w:val="00DC301B"/>
    <w:rsid w:val="00DC352A"/>
    <w:rsid w:val="00DC3980"/>
    <w:rsid w:val="00DC3B92"/>
    <w:rsid w:val="00DC4BA4"/>
    <w:rsid w:val="00DC5B1B"/>
    <w:rsid w:val="00DC7A79"/>
    <w:rsid w:val="00DD0F50"/>
    <w:rsid w:val="00DD1531"/>
    <w:rsid w:val="00DD3228"/>
    <w:rsid w:val="00DD358A"/>
    <w:rsid w:val="00DD3846"/>
    <w:rsid w:val="00DD3C28"/>
    <w:rsid w:val="00DD405B"/>
    <w:rsid w:val="00DD419F"/>
    <w:rsid w:val="00DD5514"/>
    <w:rsid w:val="00DD5A29"/>
    <w:rsid w:val="00DD5D9D"/>
    <w:rsid w:val="00DD692E"/>
    <w:rsid w:val="00DD6BA3"/>
    <w:rsid w:val="00DE061A"/>
    <w:rsid w:val="00DE0A59"/>
    <w:rsid w:val="00DE1CFC"/>
    <w:rsid w:val="00DE3019"/>
    <w:rsid w:val="00DE35CB"/>
    <w:rsid w:val="00DE4825"/>
    <w:rsid w:val="00DE53E5"/>
    <w:rsid w:val="00DE5839"/>
    <w:rsid w:val="00DE5BDB"/>
    <w:rsid w:val="00DE60B2"/>
    <w:rsid w:val="00DE76BA"/>
    <w:rsid w:val="00DE79D9"/>
    <w:rsid w:val="00DE7ABF"/>
    <w:rsid w:val="00DE7C9D"/>
    <w:rsid w:val="00DE7DFD"/>
    <w:rsid w:val="00DF121C"/>
    <w:rsid w:val="00DF136D"/>
    <w:rsid w:val="00DF1753"/>
    <w:rsid w:val="00DF21E9"/>
    <w:rsid w:val="00DF4185"/>
    <w:rsid w:val="00DF7573"/>
    <w:rsid w:val="00DF7FC4"/>
    <w:rsid w:val="00E00268"/>
    <w:rsid w:val="00E00F14"/>
    <w:rsid w:val="00E022CE"/>
    <w:rsid w:val="00E0243D"/>
    <w:rsid w:val="00E02742"/>
    <w:rsid w:val="00E0285D"/>
    <w:rsid w:val="00E029AA"/>
    <w:rsid w:val="00E03B4F"/>
    <w:rsid w:val="00E04996"/>
    <w:rsid w:val="00E04A5E"/>
    <w:rsid w:val="00E04D59"/>
    <w:rsid w:val="00E05949"/>
    <w:rsid w:val="00E06386"/>
    <w:rsid w:val="00E079C5"/>
    <w:rsid w:val="00E106F2"/>
    <w:rsid w:val="00E11849"/>
    <w:rsid w:val="00E120DA"/>
    <w:rsid w:val="00E1353D"/>
    <w:rsid w:val="00E14037"/>
    <w:rsid w:val="00E14207"/>
    <w:rsid w:val="00E14678"/>
    <w:rsid w:val="00E1511C"/>
    <w:rsid w:val="00E167CD"/>
    <w:rsid w:val="00E16F25"/>
    <w:rsid w:val="00E171C4"/>
    <w:rsid w:val="00E1794B"/>
    <w:rsid w:val="00E17F73"/>
    <w:rsid w:val="00E20B4C"/>
    <w:rsid w:val="00E214F7"/>
    <w:rsid w:val="00E21AB5"/>
    <w:rsid w:val="00E21B99"/>
    <w:rsid w:val="00E223A7"/>
    <w:rsid w:val="00E228BE"/>
    <w:rsid w:val="00E24B13"/>
    <w:rsid w:val="00E24EB4"/>
    <w:rsid w:val="00E25347"/>
    <w:rsid w:val="00E2584E"/>
    <w:rsid w:val="00E2595C"/>
    <w:rsid w:val="00E2640D"/>
    <w:rsid w:val="00E3044E"/>
    <w:rsid w:val="00E3197A"/>
    <w:rsid w:val="00E3202C"/>
    <w:rsid w:val="00E320ED"/>
    <w:rsid w:val="00E3392E"/>
    <w:rsid w:val="00E33AFB"/>
    <w:rsid w:val="00E340CA"/>
    <w:rsid w:val="00E34218"/>
    <w:rsid w:val="00E34837"/>
    <w:rsid w:val="00E35131"/>
    <w:rsid w:val="00E35693"/>
    <w:rsid w:val="00E35D3E"/>
    <w:rsid w:val="00E369FB"/>
    <w:rsid w:val="00E404EA"/>
    <w:rsid w:val="00E40EAD"/>
    <w:rsid w:val="00E413EC"/>
    <w:rsid w:val="00E41531"/>
    <w:rsid w:val="00E4354E"/>
    <w:rsid w:val="00E43C78"/>
    <w:rsid w:val="00E44D01"/>
    <w:rsid w:val="00E44E5D"/>
    <w:rsid w:val="00E45617"/>
    <w:rsid w:val="00E45B4E"/>
    <w:rsid w:val="00E46282"/>
    <w:rsid w:val="00E47341"/>
    <w:rsid w:val="00E47B16"/>
    <w:rsid w:val="00E47E37"/>
    <w:rsid w:val="00E51F23"/>
    <w:rsid w:val="00E5216E"/>
    <w:rsid w:val="00E525A4"/>
    <w:rsid w:val="00E526B7"/>
    <w:rsid w:val="00E527BD"/>
    <w:rsid w:val="00E55B81"/>
    <w:rsid w:val="00E572AF"/>
    <w:rsid w:val="00E5798A"/>
    <w:rsid w:val="00E60122"/>
    <w:rsid w:val="00E60275"/>
    <w:rsid w:val="00E62E36"/>
    <w:rsid w:val="00E63D3C"/>
    <w:rsid w:val="00E63FE5"/>
    <w:rsid w:val="00E65765"/>
    <w:rsid w:val="00E659E9"/>
    <w:rsid w:val="00E66569"/>
    <w:rsid w:val="00E6740E"/>
    <w:rsid w:val="00E67FC7"/>
    <w:rsid w:val="00E70173"/>
    <w:rsid w:val="00E70E4F"/>
    <w:rsid w:val="00E710AB"/>
    <w:rsid w:val="00E72152"/>
    <w:rsid w:val="00E7308C"/>
    <w:rsid w:val="00E73496"/>
    <w:rsid w:val="00E736FB"/>
    <w:rsid w:val="00E741F0"/>
    <w:rsid w:val="00E750B5"/>
    <w:rsid w:val="00E76572"/>
    <w:rsid w:val="00E768E3"/>
    <w:rsid w:val="00E76997"/>
    <w:rsid w:val="00E8080E"/>
    <w:rsid w:val="00E80F92"/>
    <w:rsid w:val="00E8131A"/>
    <w:rsid w:val="00E81B5A"/>
    <w:rsid w:val="00E81F9C"/>
    <w:rsid w:val="00E82344"/>
    <w:rsid w:val="00E824CD"/>
    <w:rsid w:val="00E831EA"/>
    <w:rsid w:val="00E83454"/>
    <w:rsid w:val="00E839C1"/>
    <w:rsid w:val="00E841A0"/>
    <w:rsid w:val="00E84771"/>
    <w:rsid w:val="00E84C82"/>
    <w:rsid w:val="00E84D64"/>
    <w:rsid w:val="00E85D92"/>
    <w:rsid w:val="00E862FD"/>
    <w:rsid w:val="00E865A8"/>
    <w:rsid w:val="00E87408"/>
    <w:rsid w:val="00E878E2"/>
    <w:rsid w:val="00E914C4"/>
    <w:rsid w:val="00E9185A"/>
    <w:rsid w:val="00E91D2D"/>
    <w:rsid w:val="00E926A2"/>
    <w:rsid w:val="00E92AE2"/>
    <w:rsid w:val="00E934F5"/>
    <w:rsid w:val="00E9394F"/>
    <w:rsid w:val="00E9429A"/>
    <w:rsid w:val="00E94615"/>
    <w:rsid w:val="00E94826"/>
    <w:rsid w:val="00E951E9"/>
    <w:rsid w:val="00E95859"/>
    <w:rsid w:val="00E96903"/>
    <w:rsid w:val="00E96961"/>
    <w:rsid w:val="00EA1BA0"/>
    <w:rsid w:val="00EA2931"/>
    <w:rsid w:val="00EA39EE"/>
    <w:rsid w:val="00EA46FB"/>
    <w:rsid w:val="00EA563D"/>
    <w:rsid w:val="00EA6315"/>
    <w:rsid w:val="00EA64C9"/>
    <w:rsid w:val="00EA6EE1"/>
    <w:rsid w:val="00EA70DC"/>
    <w:rsid w:val="00EA72EC"/>
    <w:rsid w:val="00EA7307"/>
    <w:rsid w:val="00EA7552"/>
    <w:rsid w:val="00EB0726"/>
    <w:rsid w:val="00EB0AF1"/>
    <w:rsid w:val="00EB11CB"/>
    <w:rsid w:val="00EB159B"/>
    <w:rsid w:val="00EB275A"/>
    <w:rsid w:val="00EB33D5"/>
    <w:rsid w:val="00EB3CE5"/>
    <w:rsid w:val="00EB40F9"/>
    <w:rsid w:val="00EB4CB9"/>
    <w:rsid w:val="00EB6297"/>
    <w:rsid w:val="00EB66E2"/>
    <w:rsid w:val="00EB6E8D"/>
    <w:rsid w:val="00EB714C"/>
    <w:rsid w:val="00EB7470"/>
    <w:rsid w:val="00EB786A"/>
    <w:rsid w:val="00EC08C1"/>
    <w:rsid w:val="00EC0CC5"/>
    <w:rsid w:val="00EC103D"/>
    <w:rsid w:val="00EC1578"/>
    <w:rsid w:val="00EC1BAC"/>
    <w:rsid w:val="00EC1C72"/>
    <w:rsid w:val="00EC1D73"/>
    <w:rsid w:val="00EC2B13"/>
    <w:rsid w:val="00EC3453"/>
    <w:rsid w:val="00EC3CC9"/>
    <w:rsid w:val="00EC4CB1"/>
    <w:rsid w:val="00EC5144"/>
    <w:rsid w:val="00EC5787"/>
    <w:rsid w:val="00EC680A"/>
    <w:rsid w:val="00EC7865"/>
    <w:rsid w:val="00EC7C80"/>
    <w:rsid w:val="00EC7F0E"/>
    <w:rsid w:val="00ED081C"/>
    <w:rsid w:val="00ED16ED"/>
    <w:rsid w:val="00ED21EC"/>
    <w:rsid w:val="00ED2302"/>
    <w:rsid w:val="00ED2B97"/>
    <w:rsid w:val="00ED351A"/>
    <w:rsid w:val="00ED39F3"/>
    <w:rsid w:val="00ED3E29"/>
    <w:rsid w:val="00ED615C"/>
    <w:rsid w:val="00ED65B6"/>
    <w:rsid w:val="00ED694C"/>
    <w:rsid w:val="00ED74F0"/>
    <w:rsid w:val="00ED75AA"/>
    <w:rsid w:val="00EE0F61"/>
    <w:rsid w:val="00EE0FB8"/>
    <w:rsid w:val="00EE2A8E"/>
    <w:rsid w:val="00EE2BED"/>
    <w:rsid w:val="00EE374B"/>
    <w:rsid w:val="00EE47BB"/>
    <w:rsid w:val="00EE58DD"/>
    <w:rsid w:val="00EE6134"/>
    <w:rsid w:val="00EE6C6D"/>
    <w:rsid w:val="00EE765B"/>
    <w:rsid w:val="00EE7765"/>
    <w:rsid w:val="00EF0109"/>
    <w:rsid w:val="00EF08EB"/>
    <w:rsid w:val="00EF18A4"/>
    <w:rsid w:val="00EF1DBE"/>
    <w:rsid w:val="00EF20A8"/>
    <w:rsid w:val="00EF2E2E"/>
    <w:rsid w:val="00EF47AA"/>
    <w:rsid w:val="00EF6F7C"/>
    <w:rsid w:val="00EF7B6F"/>
    <w:rsid w:val="00EF7DC7"/>
    <w:rsid w:val="00F00728"/>
    <w:rsid w:val="00F007DC"/>
    <w:rsid w:val="00F00CB8"/>
    <w:rsid w:val="00F00E99"/>
    <w:rsid w:val="00F01ACD"/>
    <w:rsid w:val="00F01C8E"/>
    <w:rsid w:val="00F033A7"/>
    <w:rsid w:val="00F03C13"/>
    <w:rsid w:val="00F0453F"/>
    <w:rsid w:val="00F04B47"/>
    <w:rsid w:val="00F04E14"/>
    <w:rsid w:val="00F0526F"/>
    <w:rsid w:val="00F06184"/>
    <w:rsid w:val="00F065BB"/>
    <w:rsid w:val="00F06CF7"/>
    <w:rsid w:val="00F104B9"/>
    <w:rsid w:val="00F11293"/>
    <w:rsid w:val="00F118DE"/>
    <w:rsid w:val="00F11BB5"/>
    <w:rsid w:val="00F1297C"/>
    <w:rsid w:val="00F13C44"/>
    <w:rsid w:val="00F13CF8"/>
    <w:rsid w:val="00F13E05"/>
    <w:rsid w:val="00F1417B"/>
    <w:rsid w:val="00F1639C"/>
    <w:rsid w:val="00F1686C"/>
    <w:rsid w:val="00F16AEE"/>
    <w:rsid w:val="00F16CB7"/>
    <w:rsid w:val="00F17146"/>
    <w:rsid w:val="00F179CA"/>
    <w:rsid w:val="00F20578"/>
    <w:rsid w:val="00F21AF8"/>
    <w:rsid w:val="00F2587F"/>
    <w:rsid w:val="00F26B7A"/>
    <w:rsid w:val="00F30F70"/>
    <w:rsid w:val="00F31A77"/>
    <w:rsid w:val="00F31F48"/>
    <w:rsid w:val="00F32691"/>
    <w:rsid w:val="00F32B34"/>
    <w:rsid w:val="00F330AD"/>
    <w:rsid w:val="00F33666"/>
    <w:rsid w:val="00F34371"/>
    <w:rsid w:val="00F34B99"/>
    <w:rsid w:val="00F34BD7"/>
    <w:rsid w:val="00F34E1C"/>
    <w:rsid w:val="00F35735"/>
    <w:rsid w:val="00F36589"/>
    <w:rsid w:val="00F378E4"/>
    <w:rsid w:val="00F37A46"/>
    <w:rsid w:val="00F40743"/>
    <w:rsid w:val="00F40B49"/>
    <w:rsid w:val="00F4136B"/>
    <w:rsid w:val="00F419CA"/>
    <w:rsid w:val="00F41A5F"/>
    <w:rsid w:val="00F41FB7"/>
    <w:rsid w:val="00F422E6"/>
    <w:rsid w:val="00F42CEC"/>
    <w:rsid w:val="00F43824"/>
    <w:rsid w:val="00F44F53"/>
    <w:rsid w:val="00F45E42"/>
    <w:rsid w:val="00F469BD"/>
    <w:rsid w:val="00F502D2"/>
    <w:rsid w:val="00F50460"/>
    <w:rsid w:val="00F50941"/>
    <w:rsid w:val="00F52DAB"/>
    <w:rsid w:val="00F5331D"/>
    <w:rsid w:val="00F53BD6"/>
    <w:rsid w:val="00F53DC0"/>
    <w:rsid w:val="00F543F0"/>
    <w:rsid w:val="00F54B16"/>
    <w:rsid w:val="00F54FA8"/>
    <w:rsid w:val="00F550EE"/>
    <w:rsid w:val="00F55316"/>
    <w:rsid w:val="00F559D0"/>
    <w:rsid w:val="00F5724B"/>
    <w:rsid w:val="00F575F3"/>
    <w:rsid w:val="00F57802"/>
    <w:rsid w:val="00F57C09"/>
    <w:rsid w:val="00F6030C"/>
    <w:rsid w:val="00F6082F"/>
    <w:rsid w:val="00F61EB2"/>
    <w:rsid w:val="00F624AC"/>
    <w:rsid w:val="00F62B47"/>
    <w:rsid w:val="00F650CD"/>
    <w:rsid w:val="00F66E71"/>
    <w:rsid w:val="00F67A48"/>
    <w:rsid w:val="00F70981"/>
    <w:rsid w:val="00F70F6C"/>
    <w:rsid w:val="00F73F0D"/>
    <w:rsid w:val="00F74AA8"/>
    <w:rsid w:val="00F76847"/>
    <w:rsid w:val="00F7771C"/>
    <w:rsid w:val="00F81206"/>
    <w:rsid w:val="00F81BB5"/>
    <w:rsid w:val="00F81D29"/>
    <w:rsid w:val="00F81FC5"/>
    <w:rsid w:val="00F8203E"/>
    <w:rsid w:val="00F8302D"/>
    <w:rsid w:val="00F83A9C"/>
    <w:rsid w:val="00F85C68"/>
    <w:rsid w:val="00F86961"/>
    <w:rsid w:val="00F86A6A"/>
    <w:rsid w:val="00F8782E"/>
    <w:rsid w:val="00F91A80"/>
    <w:rsid w:val="00F91C4D"/>
    <w:rsid w:val="00F92FD9"/>
    <w:rsid w:val="00F933ED"/>
    <w:rsid w:val="00F93BEF"/>
    <w:rsid w:val="00F94380"/>
    <w:rsid w:val="00FA009B"/>
    <w:rsid w:val="00FA0565"/>
    <w:rsid w:val="00FA0EA7"/>
    <w:rsid w:val="00FA2E49"/>
    <w:rsid w:val="00FA3400"/>
    <w:rsid w:val="00FA4B47"/>
    <w:rsid w:val="00FA5AE9"/>
    <w:rsid w:val="00FA6684"/>
    <w:rsid w:val="00FA731E"/>
    <w:rsid w:val="00FB07AC"/>
    <w:rsid w:val="00FB2B38"/>
    <w:rsid w:val="00FB323D"/>
    <w:rsid w:val="00FB3769"/>
    <w:rsid w:val="00FB3F55"/>
    <w:rsid w:val="00FB4C61"/>
    <w:rsid w:val="00FB5E0E"/>
    <w:rsid w:val="00FB73F7"/>
    <w:rsid w:val="00FB7A14"/>
    <w:rsid w:val="00FB7F70"/>
    <w:rsid w:val="00FC17F4"/>
    <w:rsid w:val="00FC1C5F"/>
    <w:rsid w:val="00FC1E3F"/>
    <w:rsid w:val="00FC2310"/>
    <w:rsid w:val="00FC2B3F"/>
    <w:rsid w:val="00FC332C"/>
    <w:rsid w:val="00FC41E9"/>
    <w:rsid w:val="00FC4908"/>
    <w:rsid w:val="00FC4AD9"/>
    <w:rsid w:val="00FC4DDB"/>
    <w:rsid w:val="00FC4FEF"/>
    <w:rsid w:val="00FC5190"/>
    <w:rsid w:val="00FC542F"/>
    <w:rsid w:val="00FC5850"/>
    <w:rsid w:val="00FC6358"/>
    <w:rsid w:val="00FC6561"/>
    <w:rsid w:val="00FC6F3D"/>
    <w:rsid w:val="00FC6FED"/>
    <w:rsid w:val="00FD0C6E"/>
    <w:rsid w:val="00FD0E7C"/>
    <w:rsid w:val="00FD1D2E"/>
    <w:rsid w:val="00FD1DF8"/>
    <w:rsid w:val="00FD26D6"/>
    <w:rsid w:val="00FD29E3"/>
    <w:rsid w:val="00FD320D"/>
    <w:rsid w:val="00FD321C"/>
    <w:rsid w:val="00FD3B65"/>
    <w:rsid w:val="00FD42CD"/>
    <w:rsid w:val="00FD6AF5"/>
    <w:rsid w:val="00FD72D6"/>
    <w:rsid w:val="00FE0446"/>
    <w:rsid w:val="00FE0784"/>
    <w:rsid w:val="00FE156D"/>
    <w:rsid w:val="00FE18A2"/>
    <w:rsid w:val="00FE23DE"/>
    <w:rsid w:val="00FE25D1"/>
    <w:rsid w:val="00FE3852"/>
    <w:rsid w:val="00FE4144"/>
    <w:rsid w:val="00FE54AF"/>
    <w:rsid w:val="00FE5836"/>
    <w:rsid w:val="00FE5ABC"/>
    <w:rsid w:val="00FE7FCF"/>
    <w:rsid w:val="00FF03F7"/>
    <w:rsid w:val="00FF17AE"/>
    <w:rsid w:val="00FF3A10"/>
    <w:rsid w:val="00FF467D"/>
    <w:rsid w:val="00FF51C0"/>
    <w:rsid w:val="00FF5982"/>
    <w:rsid w:val="00FF7518"/>
    <w:rsid w:val="012A7410"/>
    <w:rsid w:val="017847D8"/>
    <w:rsid w:val="01AB302E"/>
    <w:rsid w:val="01AC6146"/>
    <w:rsid w:val="0246240E"/>
    <w:rsid w:val="02634625"/>
    <w:rsid w:val="02764415"/>
    <w:rsid w:val="027F49FA"/>
    <w:rsid w:val="02832A46"/>
    <w:rsid w:val="028C76E4"/>
    <w:rsid w:val="03AD7C37"/>
    <w:rsid w:val="043E27E3"/>
    <w:rsid w:val="04D02842"/>
    <w:rsid w:val="051C15A7"/>
    <w:rsid w:val="051E7477"/>
    <w:rsid w:val="054B530C"/>
    <w:rsid w:val="06184080"/>
    <w:rsid w:val="06385531"/>
    <w:rsid w:val="071F0864"/>
    <w:rsid w:val="073D7A55"/>
    <w:rsid w:val="07416292"/>
    <w:rsid w:val="077371A5"/>
    <w:rsid w:val="079147DD"/>
    <w:rsid w:val="07B230DA"/>
    <w:rsid w:val="08593068"/>
    <w:rsid w:val="08660958"/>
    <w:rsid w:val="08B8188C"/>
    <w:rsid w:val="08C47E38"/>
    <w:rsid w:val="09861C5D"/>
    <w:rsid w:val="098E6BBD"/>
    <w:rsid w:val="09DC47EA"/>
    <w:rsid w:val="0A002BD7"/>
    <w:rsid w:val="0A202556"/>
    <w:rsid w:val="0B1A0193"/>
    <w:rsid w:val="0B2B54DC"/>
    <w:rsid w:val="0C1D31F0"/>
    <w:rsid w:val="0C373E07"/>
    <w:rsid w:val="0C4E04F4"/>
    <w:rsid w:val="0C551CB7"/>
    <w:rsid w:val="0D0C0FC8"/>
    <w:rsid w:val="0D18401F"/>
    <w:rsid w:val="0D3E7753"/>
    <w:rsid w:val="0D777D70"/>
    <w:rsid w:val="0DB0389C"/>
    <w:rsid w:val="0E982FFC"/>
    <w:rsid w:val="0ED161A9"/>
    <w:rsid w:val="0EFE5203"/>
    <w:rsid w:val="0F6C4ACC"/>
    <w:rsid w:val="0F7FB21B"/>
    <w:rsid w:val="0FA068E2"/>
    <w:rsid w:val="0FBC7D00"/>
    <w:rsid w:val="0FC6607D"/>
    <w:rsid w:val="10477EC2"/>
    <w:rsid w:val="10582190"/>
    <w:rsid w:val="105A360A"/>
    <w:rsid w:val="11276C93"/>
    <w:rsid w:val="117B6A88"/>
    <w:rsid w:val="119F38AB"/>
    <w:rsid w:val="12026A61"/>
    <w:rsid w:val="1214674B"/>
    <w:rsid w:val="12C230EB"/>
    <w:rsid w:val="12F72F33"/>
    <w:rsid w:val="12FE19F9"/>
    <w:rsid w:val="13597521"/>
    <w:rsid w:val="13B433D9"/>
    <w:rsid w:val="13F3F465"/>
    <w:rsid w:val="142231D0"/>
    <w:rsid w:val="146D25A5"/>
    <w:rsid w:val="147321EF"/>
    <w:rsid w:val="14C27A2E"/>
    <w:rsid w:val="14C8457B"/>
    <w:rsid w:val="15A534A5"/>
    <w:rsid w:val="15BC7DDB"/>
    <w:rsid w:val="15BE6487"/>
    <w:rsid w:val="16373697"/>
    <w:rsid w:val="165741CD"/>
    <w:rsid w:val="166F2AB6"/>
    <w:rsid w:val="1777330C"/>
    <w:rsid w:val="177A5E3A"/>
    <w:rsid w:val="179B01BA"/>
    <w:rsid w:val="18065B69"/>
    <w:rsid w:val="190B7EAE"/>
    <w:rsid w:val="194854E7"/>
    <w:rsid w:val="198A449E"/>
    <w:rsid w:val="1A0C29CB"/>
    <w:rsid w:val="1A3B51FE"/>
    <w:rsid w:val="1A4F5C17"/>
    <w:rsid w:val="1A6E6346"/>
    <w:rsid w:val="1B436CBB"/>
    <w:rsid w:val="1BE314C5"/>
    <w:rsid w:val="1C482566"/>
    <w:rsid w:val="1D236108"/>
    <w:rsid w:val="1D2522C5"/>
    <w:rsid w:val="1D42020B"/>
    <w:rsid w:val="1E0E622A"/>
    <w:rsid w:val="1E3323C2"/>
    <w:rsid w:val="1F1AB2AF"/>
    <w:rsid w:val="1FAB788C"/>
    <w:rsid w:val="1FDE09B0"/>
    <w:rsid w:val="200563F1"/>
    <w:rsid w:val="20233E1C"/>
    <w:rsid w:val="204B57A8"/>
    <w:rsid w:val="20874C01"/>
    <w:rsid w:val="20880DD0"/>
    <w:rsid w:val="20AA60EA"/>
    <w:rsid w:val="21F4263A"/>
    <w:rsid w:val="22447141"/>
    <w:rsid w:val="224E6B20"/>
    <w:rsid w:val="225A6D6D"/>
    <w:rsid w:val="225D7BBF"/>
    <w:rsid w:val="22CC023E"/>
    <w:rsid w:val="23237684"/>
    <w:rsid w:val="23660E98"/>
    <w:rsid w:val="23A76AEF"/>
    <w:rsid w:val="244D65B8"/>
    <w:rsid w:val="24B211DA"/>
    <w:rsid w:val="24B82613"/>
    <w:rsid w:val="24DF178C"/>
    <w:rsid w:val="24FA21B0"/>
    <w:rsid w:val="2528182E"/>
    <w:rsid w:val="25286458"/>
    <w:rsid w:val="257876DF"/>
    <w:rsid w:val="25E07446"/>
    <w:rsid w:val="262D65CC"/>
    <w:rsid w:val="266876DA"/>
    <w:rsid w:val="268829B8"/>
    <w:rsid w:val="26F045DA"/>
    <w:rsid w:val="26FA391C"/>
    <w:rsid w:val="270B42E3"/>
    <w:rsid w:val="27772329"/>
    <w:rsid w:val="27862337"/>
    <w:rsid w:val="27B46230"/>
    <w:rsid w:val="27E61F4D"/>
    <w:rsid w:val="287B6449"/>
    <w:rsid w:val="28934FE3"/>
    <w:rsid w:val="28E76127"/>
    <w:rsid w:val="28EC385F"/>
    <w:rsid w:val="2931484B"/>
    <w:rsid w:val="29BD68F4"/>
    <w:rsid w:val="29DD30FB"/>
    <w:rsid w:val="29E16E2E"/>
    <w:rsid w:val="2A017A93"/>
    <w:rsid w:val="2A4C127B"/>
    <w:rsid w:val="2AA00B6D"/>
    <w:rsid w:val="2AB0563F"/>
    <w:rsid w:val="2AB85979"/>
    <w:rsid w:val="2B016354"/>
    <w:rsid w:val="2B537CFB"/>
    <w:rsid w:val="2C0767BA"/>
    <w:rsid w:val="2C1A61E3"/>
    <w:rsid w:val="2C3275DA"/>
    <w:rsid w:val="2C9D04F1"/>
    <w:rsid w:val="2CB7421A"/>
    <w:rsid w:val="2CE57407"/>
    <w:rsid w:val="2CF90807"/>
    <w:rsid w:val="2D3C315E"/>
    <w:rsid w:val="2DB52BA5"/>
    <w:rsid w:val="2DBA4CE3"/>
    <w:rsid w:val="2DDB41DF"/>
    <w:rsid w:val="2E690493"/>
    <w:rsid w:val="2E7319F4"/>
    <w:rsid w:val="2E752B08"/>
    <w:rsid w:val="2FC278C9"/>
    <w:rsid w:val="2FFF73FA"/>
    <w:rsid w:val="3012195F"/>
    <w:rsid w:val="30122471"/>
    <w:rsid w:val="3092251C"/>
    <w:rsid w:val="30CD60A4"/>
    <w:rsid w:val="30D80ED4"/>
    <w:rsid w:val="312B0522"/>
    <w:rsid w:val="312B1A2F"/>
    <w:rsid w:val="31894FAA"/>
    <w:rsid w:val="31D91F18"/>
    <w:rsid w:val="31F07CBF"/>
    <w:rsid w:val="321D3A6E"/>
    <w:rsid w:val="32381445"/>
    <w:rsid w:val="32A97C34"/>
    <w:rsid w:val="32E346B8"/>
    <w:rsid w:val="33481C91"/>
    <w:rsid w:val="3360498B"/>
    <w:rsid w:val="34083264"/>
    <w:rsid w:val="34106270"/>
    <w:rsid w:val="341D0B89"/>
    <w:rsid w:val="34742BFC"/>
    <w:rsid w:val="348D7581"/>
    <w:rsid w:val="34AE3AF6"/>
    <w:rsid w:val="35115B7B"/>
    <w:rsid w:val="35C820DA"/>
    <w:rsid w:val="35D7C4A5"/>
    <w:rsid w:val="36441C76"/>
    <w:rsid w:val="369910B4"/>
    <w:rsid w:val="36A73CBB"/>
    <w:rsid w:val="36C706B3"/>
    <w:rsid w:val="372F5765"/>
    <w:rsid w:val="37364BBA"/>
    <w:rsid w:val="373E096A"/>
    <w:rsid w:val="377402F4"/>
    <w:rsid w:val="37F6C0F1"/>
    <w:rsid w:val="37FB077B"/>
    <w:rsid w:val="385B0AC8"/>
    <w:rsid w:val="3878544D"/>
    <w:rsid w:val="388B3B14"/>
    <w:rsid w:val="38D71361"/>
    <w:rsid w:val="38F06A82"/>
    <w:rsid w:val="398B5FE9"/>
    <w:rsid w:val="3A907BC0"/>
    <w:rsid w:val="3AAD673F"/>
    <w:rsid w:val="3AC65F52"/>
    <w:rsid w:val="3AE43F14"/>
    <w:rsid w:val="3BD6712E"/>
    <w:rsid w:val="3BDD16FC"/>
    <w:rsid w:val="3C21415B"/>
    <w:rsid w:val="3C3D6ABB"/>
    <w:rsid w:val="3C754902"/>
    <w:rsid w:val="3C9420EE"/>
    <w:rsid w:val="3CF22410"/>
    <w:rsid w:val="3D0D2EA6"/>
    <w:rsid w:val="3D0E7470"/>
    <w:rsid w:val="3D7351F8"/>
    <w:rsid w:val="3D7565AC"/>
    <w:rsid w:val="3D7D0F4E"/>
    <w:rsid w:val="3DAB2C19"/>
    <w:rsid w:val="3DE947A0"/>
    <w:rsid w:val="3DFBA50D"/>
    <w:rsid w:val="3E575A1A"/>
    <w:rsid w:val="3E5F09B6"/>
    <w:rsid w:val="3E7859A1"/>
    <w:rsid w:val="3ED76BAE"/>
    <w:rsid w:val="3EEEDCAA"/>
    <w:rsid w:val="3EFF1E83"/>
    <w:rsid w:val="3F163D1F"/>
    <w:rsid w:val="3F43279C"/>
    <w:rsid w:val="3FBFE371"/>
    <w:rsid w:val="402E2B99"/>
    <w:rsid w:val="40781A79"/>
    <w:rsid w:val="409A538C"/>
    <w:rsid w:val="41036EC2"/>
    <w:rsid w:val="412A7813"/>
    <w:rsid w:val="418E4D08"/>
    <w:rsid w:val="41AB702C"/>
    <w:rsid w:val="41AD4BA7"/>
    <w:rsid w:val="41C032E3"/>
    <w:rsid w:val="420B780D"/>
    <w:rsid w:val="423401D5"/>
    <w:rsid w:val="42F006E3"/>
    <w:rsid w:val="42F22AA1"/>
    <w:rsid w:val="43264A95"/>
    <w:rsid w:val="436E12A1"/>
    <w:rsid w:val="43815A1B"/>
    <w:rsid w:val="43D87215"/>
    <w:rsid w:val="44BA5CA4"/>
    <w:rsid w:val="44CB7D77"/>
    <w:rsid w:val="44D422B0"/>
    <w:rsid w:val="45375564"/>
    <w:rsid w:val="453927C3"/>
    <w:rsid w:val="456A4DC4"/>
    <w:rsid w:val="45E62E6E"/>
    <w:rsid w:val="45FD3D5E"/>
    <w:rsid w:val="46F12C00"/>
    <w:rsid w:val="47073CE4"/>
    <w:rsid w:val="47882151"/>
    <w:rsid w:val="48925112"/>
    <w:rsid w:val="48BB76E5"/>
    <w:rsid w:val="493C0135"/>
    <w:rsid w:val="497520D8"/>
    <w:rsid w:val="49B214B3"/>
    <w:rsid w:val="49E3239F"/>
    <w:rsid w:val="4A124180"/>
    <w:rsid w:val="4A7C0F83"/>
    <w:rsid w:val="4A8A53F9"/>
    <w:rsid w:val="4A9B480A"/>
    <w:rsid w:val="4AA77811"/>
    <w:rsid w:val="4AAA11CE"/>
    <w:rsid w:val="4B0F4539"/>
    <w:rsid w:val="4B7C7D6F"/>
    <w:rsid w:val="4B990D1B"/>
    <w:rsid w:val="4C96154C"/>
    <w:rsid w:val="4D097F86"/>
    <w:rsid w:val="4D166FEB"/>
    <w:rsid w:val="4D6E2C2C"/>
    <w:rsid w:val="4DC4756B"/>
    <w:rsid w:val="4E792926"/>
    <w:rsid w:val="4E8D38D2"/>
    <w:rsid w:val="4ECB3EA5"/>
    <w:rsid w:val="4F380BA8"/>
    <w:rsid w:val="4F835786"/>
    <w:rsid w:val="4F8931A4"/>
    <w:rsid w:val="4FA55872"/>
    <w:rsid w:val="4FFFE1D8"/>
    <w:rsid w:val="503E013E"/>
    <w:rsid w:val="503F0BFC"/>
    <w:rsid w:val="50C327FF"/>
    <w:rsid w:val="50DE714D"/>
    <w:rsid w:val="50EB3F99"/>
    <w:rsid w:val="510D2D6D"/>
    <w:rsid w:val="51D82C42"/>
    <w:rsid w:val="52247358"/>
    <w:rsid w:val="526D3CF9"/>
    <w:rsid w:val="52F8FD3E"/>
    <w:rsid w:val="53772339"/>
    <w:rsid w:val="539E6906"/>
    <w:rsid w:val="53FD4E05"/>
    <w:rsid w:val="5466F208"/>
    <w:rsid w:val="548B50F6"/>
    <w:rsid w:val="5490576F"/>
    <w:rsid w:val="54FB8FFC"/>
    <w:rsid w:val="5513575D"/>
    <w:rsid w:val="553E7FBB"/>
    <w:rsid w:val="555A2E58"/>
    <w:rsid w:val="55712408"/>
    <w:rsid w:val="557C78FD"/>
    <w:rsid w:val="55A14D04"/>
    <w:rsid w:val="55C67DB3"/>
    <w:rsid w:val="560D7E61"/>
    <w:rsid w:val="561113ED"/>
    <w:rsid w:val="56120094"/>
    <w:rsid w:val="562E7386"/>
    <w:rsid w:val="56C121CB"/>
    <w:rsid w:val="572B00B2"/>
    <w:rsid w:val="57641E80"/>
    <w:rsid w:val="576C676A"/>
    <w:rsid w:val="57CE6245"/>
    <w:rsid w:val="57D305F8"/>
    <w:rsid w:val="57E257F2"/>
    <w:rsid w:val="57FE5414"/>
    <w:rsid w:val="58EF5858"/>
    <w:rsid w:val="598471F5"/>
    <w:rsid w:val="59F061F0"/>
    <w:rsid w:val="5A2B97A7"/>
    <w:rsid w:val="5A5733F9"/>
    <w:rsid w:val="5B431D6A"/>
    <w:rsid w:val="5B9D3E24"/>
    <w:rsid w:val="5BBB44A6"/>
    <w:rsid w:val="5BBF67DD"/>
    <w:rsid w:val="5C666EAE"/>
    <w:rsid w:val="5C94155D"/>
    <w:rsid w:val="5CDE3309"/>
    <w:rsid w:val="5D121C0B"/>
    <w:rsid w:val="5D1D3E92"/>
    <w:rsid w:val="5D3A1131"/>
    <w:rsid w:val="5DB625CB"/>
    <w:rsid w:val="5DF8953B"/>
    <w:rsid w:val="5E1C1D45"/>
    <w:rsid w:val="5E2B34F9"/>
    <w:rsid w:val="5EA222CA"/>
    <w:rsid w:val="5F6917F1"/>
    <w:rsid w:val="5F6F3ABB"/>
    <w:rsid w:val="5F9A07FA"/>
    <w:rsid w:val="5F9B7375"/>
    <w:rsid w:val="5F9E6A1C"/>
    <w:rsid w:val="5FE3677F"/>
    <w:rsid w:val="5FFF2B61"/>
    <w:rsid w:val="60914613"/>
    <w:rsid w:val="609713C0"/>
    <w:rsid w:val="60C33C13"/>
    <w:rsid w:val="618E6F0E"/>
    <w:rsid w:val="61983673"/>
    <w:rsid w:val="61FE6DD0"/>
    <w:rsid w:val="63022D30"/>
    <w:rsid w:val="63966764"/>
    <w:rsid w:val="63D3DF70"/>
    <w:rsid w:val="63E9763F"/>
    <w:rsid w:val="63FD2061"/>
    <w:rsid w:val="63FF5BFD"/>
    <w:rsid w:val="64341A4B"/>
    <w:rsid w:val="65262BE9"/>
    <w:rsid w:val="65511117"/>
    <w:rsid w:val="65AD2209"/>
    <w:rsid w:val="65DE6A22"/>
    <w:rsid w:val="66042274"/>
    <w:rsid w:val="663B2885"/>
    <w:rsid w:val="66832A58"/>
    <w:rsid w:val="66A54284"/>
    <w:rsid w:val="66AF441F"/>
    <w:rsid w:val="66E214A4"/>
    <w:rsid w:val="6737004C"/>
    <w:rsid w:val="674C7D15"/>
    <w:rsid w:val="6763478E"/>
    <w:rsid w:val="67803B7C"/>
    <w:rsid w:val="67CC2C5A"/>
    <w:rsid w:val="67FFF4E9"/>
    <w:rsid w:val="681845E8"/>
    <w:rsid w:val="684F0173"/>
    <w:rsid w:val="68675646"/>
    <w:rsid w:val="688C23E1"/>
    <w:rsid w:val="688F753A"/>
    <w:rsid w:val="68D55C5E"/>
    <w:rsid w:val="694766FF"/>
    <w:rsid w:val="697463EB"/>
    <w:rsid w:val="69E32BEF"/>
    <w:rsid w:val="6A143814"/>
    <w:rsid w:val="6A244CC3"/>
    <w:rsid w:val="6A6A591A"/>
    <w:rsid w:val="6AA61B4B"/>
    <w:rsid w:val="6AAF73DE"/>
    <w:rsid w:val="6B3B684A"/>
    <w:rsid w:val="6BF7DDB8"/>
    <w:rsid w:val="6C0E3E02"/>
    <w:rsid w:val="6C7A6DEC"/>
    <w:rsid w:val="6CAD71C1"/>
    <w:rsid w:val="6CC70893"/>
    <w:rsid w:val="6CC83EF9"/>
    <w:rsid w:val="6CFF0F21"/>
    <w:rsid w:val="6DB06CBB"/>
    <w:rsid w:val="6E1014BB"/>
    <w:rsid w:val="6E502D6A"/>
    <w:rsid w:val="6EAC3EEC"/>
    <w:rsid w:val="6F253CBD"/>
    <w:rsid w:val="6FB31BC3"/>
    <w:rsid w:val="6FBD3632"/>
    <w:rsid w:val="6FF6C20B"/>
    <w:rsid w:val="6FFE7376"/>
    <w:rsid w:val="70480D43"/>
    <w:rsid w:val="70CA725D"/>
    <w:rsid w:val="70E85003"/>
    <w:rsid w:val="7152029B"/>
    <w:rsid w:val="719D2B8E"/>
    <w:rsid w:val="71AE5B26"/>
    <w:rsid w:val="71D24B9B"/>
    <w:rsid w:val="722708FC"/>
    <w:rsid w:val="72366587"/>
    <w:rsid w:val="72BE3C99"/>
    <w:rsid w:val="72D81C21"/>
    <w:rsid w:val="72E94EE8"/>
    <w:rsid w:val="731358A4"/>
    <w:rsid w:val="731F6D84"/>
    <w:rsid w:val="737B01BE"/>
    <w:rsid w:val="73976076"/>
    <w:rsid w:val="7399F6CE"/>
    <w:rsid w:val="739D72FF"/>
    <w:rsid w:val="73A579B0"/>
    <w:rsid w:val="73E84F83"/>
    <w:rsid w:val="73EE3497"/>
    <w:rsid w:val="742223AD"/>
    <w:rsid w:val="74543E13"/>
    <w:rsid w:val="74932683"/>
    <w:rsid w:val="74F80525"/>
    <w:rsid w:val="75756716"/>
    <w:rsid w:val="75EF0A26"/>
    <w:rsid w:val="75F7B6FE"/>
    <w:rsid w:val="768431FB"/>
    <w:rsid w:val="7694692D"/>
    <w:rsid w:val="770A213F"/>
    <w:rsid w:val="7754944D"/>
    <w:rsid w:val="77AC669B"/>
    <w:rsid w:val="77C5FDB4"/>
    <w:rsid w:val="77C7C479"/>
    <w:rsid w:val="77FD98CB"/>
    <w:rsid w:val="7822258C"/>
    <w:rsid w:val="78C83F89"/>
    <w:rsid w:val="78D759F8"/>
    <w:rsid w:val="78FD421B"/>
    <w:rsid w:val="79CA168C"/>
    <w:rsid w:val="79D02741"/>
    <w:rsid w:val="7A2D35FA"/>
    <w:rsid w:val="7A3E0FA3"/>
    <w:rsid w:val="7ABE88F8"/>
    <w:rsid w:val="7AEF706D"/>
    <w:rsid w:val="7B1C60CD"/>
    <w:rsid w:val="7B6156D4"/>
    <w:rsid w:val="7B7EB1B7"/>
    <w:rsid w:val="7BBE067B"/>
    <w:rsid w:val="7BE129E3"/>
    <w:rsid w:val="7C1F61AB"/>
    <w:rsid w:val="7CFE1F19"/>
    <w:rsid w:val="7CFE6519"/>
    <w:rsid w:val="7CFF1BD6"/>
    <w:rsid w:val="7D2756B3"/>
    <w:rsid w:val="7D980FE7"/>
    <w:rsid w:val="7DAA7424"/>
    <w:rsid w:val="7DDE7D48"/>
    <w:rsid w:val="7DED12A4"/>
    <w:rsid w:val="7DFB18F9"/>
    <w:rsid w:val="7DFDBFFF"/>
    <w:rsid w:val="7DFFE7D3"/>
    <w:rsid w:val="7E2A23CB"/>
    <w:rsid w:val="7E7F0F96"/>
    <w:rsid w:val="7E7F9565"/>
    <w:rsid w:val="7E7F968C"/>
    <w:rsid w:val="7E97389E"/>
    <w:rsid w:val="7EDC83B9"/>
    <w:rsid w:val="7EF7ED1A"/>
    <w:rsid w:val="7EFB8B02"/>
    <w:rsid w:val="7EFDB882"/>
    <w:rsid w:val="7F4C7FC8"/>
    <w:rsid w:val="7F6C0C06"/>
    <w:rsid w:val="7F718FDF"/>
    <w:rsid w:val="7F7F1B40"/>
    <w:rsid w:val="7F7F6470"/>
    <w:rsid w:val="7F81447E"/>
    <w:rsid w:val="7FBFFC56"/>
    <w:rsid w:val="7FC70F30"/>
    <w:rsid w:val="7FD7ECC7"/>
    <w:rsid w:val="7FD90FB5"/>
    <w:rsid w:val="7FDDD7EA"/>
    <w:rsid w:val="7FDEBC02"/>
    <w:rsid w:val="7FECC674"/>
    <w:rsid w:val="7FFF4E00"/>
    <w:rsid w:val="7FFF6F17"/>
    <w:rsid w:val="7FFFADE3"/>
    <w:rsid w:val="8F2F8CDF"/>
    <w:rsid w:val="8FFF5948"/>
    <w:rsid w:val="913F7983"/>
    <w:rsid w:val="9ABB5E72"/>
    <w:rsid w:val="A38D5D8C"/>
    <w:rsid w:val="ABFF3F86"/>
    <w:rsid w:val="B17F3A6C"/>
    <w:rsid w:val="B65F5EBC"/>
    <w:rsid w:val="B7EF676E"/>
    <w:rsid w:val="B7F1C37A"/>
    <w:rsid w:val="BBA7DBD5"/>
    <w:rsid w:val="BDC02E3D"/>
    <w:rsid w:val="BFDD5C8F"/>
    <w:rsid w:val="BFF764BC"/>
    <w:rsid w:val="CFEB1F3C"/>
    <w:rsid w:val="D57BD680"/>
    <w:rsid w:val="D6FCEBFF"/>
    <w:rsid w:val="D7FA6300"/>
    <w:rsid w:val="D7FF36BC"/>
    <w:rsid w:val="DBBE84E5"/>
    <w:rsid w:val="DCDF5331"/>
    <w:rsid w:val="DCF7B420"/>
    <w:rsid w:val="DCFF1852"/>
    <w:rsid w:val="DE4FE7EE"/>
    <w:rsid w:val="DFCF33DB"/>
    <w:rsid w:val="DFFCB908"/>
    <w:rsid w:val="E1DA3122"/>
    <w:rsid w:val="E3CF81F8"/>
    <w:rsid w:val="E4FB2E2E"/>
    <w:rsid w:val="E537F715"/>
    <w:rsid w:val="E5DDFC66"/>
    <w:rsid w:val="E9FE7795"/>
    <w:rsid w:val="EBDF620E"/>
    <w:rsid w:val="EBFE4255"/>
    <w:rsid w:val="EC7F098F"/>
    <w:rsid w:val="ECFE2190"/>
    <w:rsid w:val="EDF7321C"/>
    <w:rsid w:val="EF9F3F83"/>
    <w:rsid w:val="EFBF2D5B"/>
    <w:rsid w:val="F0FDFD03"/>
    <w:rsid w:val="F3D7B9D2"/>
    <w:rsid w:val="F3EFE0D5"/>
    <w:rsid w:val="F55FB8B6"/>
    <w:rsid w:val="F5BFA05F"/>
    <w:rsid w:val="F5FF2AD7"/>
    <w:rsid w:val="F67F5F1B"/>
    <w:rsid w:val="F7F389C7"/>
    <w:rsid w:val="F97F2A08"/>
    <w:rsid w:val="F9F65228"/>
    <w:rsid w:val="FBDB4FD3"/>
    <w:rsid w:val="FBEBCE46"/>
    <w:rsid w:val="FBFFA395"/>
    <w:rsid w:val="FDFA07CB"/>
    <w:rsid w:val="FDFE477E"/>
    <w:rsid w:val="FE555527"/>
    <w:rsid w:val="FEF9AC8E"/>
    <w:rsid w:val="FF6FA76C"/>
    <w:rsid w:val="FF7C76E4"/>
    <w:rsid w:val="FFBBF9E0"/>
    <w:rsid w:val="FFC7F4EF"/>
    <w:rsid w:val="FFE653DB"/>
    <w:rsid w:val="FFF72ACF"/>
    <w:rsid w:val="FFF7DE2F"/>
    <w:rsid w:val="FFFD98BE"/>
    <w:rsid w:val="FFFDE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2"/>
    <w:autoRedefine/>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160"/>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7"/>
    <w:autoRedefine/>
    <w:unhideWhenUsed/>
    <w:qFormat/>
    <w:uiPriority w:val="0"/>
    <w:pPr>
      <w:keepNext/>
      <w:keepLines/>
      <w:spacing w:before="260" w:after="260" w:line="416" w:lineRule="auto"/>
      <w:outlineLvl w:val="2"/>
    </w:pPr>
    <w:rPr>
      <w:b/>
      <w:bCs/>
      <w:sz w:val="32"/>
      <w:szCs w:val="32"/>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semiHidden/>
    <w:qFormat/>
    <w:uiPriority w:val="0"/>
    <w:pPr>
      <w:tabs>
        <w:tab w:val="right" w:leader="dot" w:pos="9241"/>
      </w:tabs>
      <w:ind w:firstLine="505" w:firstLineChars="500"/>
      <w:jc w:val="left"/>
    </w:pPr>
    <w:rPr>
      <w:rFonts w:ascii="宋体"/>
      <w:szCs w:val="21"/>
    </w:rPr>
  </w:style>
  <w:style w:type="paragraph" w:styleId="6">
    <w:name w:val="index 8"/>
    <w:basedOn w:val="1"/>
    <w:next w:val="1"/>
    <w:autoRedefine/>
    <w:qFormat/>
    <w:uiPriority w:val="0"/>
    <w:pPr>
      <w:ind w:left="1680" w:hanging="210"/>
      <w:jc w:val="left"/>
    </w:pPr>
    <w:rPr>
      <w:rFonts w:ascii="Calibri" w:hAnsi="Calibri"/>
      <w:sz w:val="20"/>
      <w:szCs w:val="20"/>
    </w:rPr>
  </w:style>
  <w:style w:type="paragraph" w:styleId="7">
    <w:name w:val="caption"/>
    <w:basedOn w:val="1"/>
    <w:next w:val="1"/>
    <w:autoRedefine/>
    <w:qFormat/>
    <w:uiPriority w:val="0"/>
    <w:pPr>
      <w:spacing w:before="152" w:after="160"/>
    </w:pPr>
    <w:rPr>
      <w:rFonts w:ascii="Arial" w:hAnsi="Arial" w:eastAsia="黑体" w:cs="Arial"/>
      <w:sz w:val="20"/>
      <w:szCs w:val="20"/>
    </w:rPr>
  </w:style>
  <w:style w:type="paragraph" w:styleId="8">
    <w:name w:val="index 5"/>
    <w:basedOn w:val="1"/>
    <w:next w:val="1"/>
    <w:autoRedefine/>
    <w:qFormat/>
    <w:uiPriority w:val="0"/>
    <w:pPr>
      <w:ind w:left="1050" w:hanging="210"/>
      <w:jc w:val="left"/>
    </w:pPr>
    <w:rPr>
      <w:rFonts w:ascii="Calibri" w:hAnsi="Calibri"/>
      <w:sz w:val="20"/>
      <w:szCs w:val="20"/>
    </w:rPr>
  </w:style>
  <w:style w:type="paragraph" w:styleId="9">
    <w:name w:val="Document Map"/>
    <w:basedOn w:val="1"/>
    <w:autoRedefine/>
    <w:semiHidden/>
    <w:qFormat/>
    <w:uiPriority w:val="0"/>
    <w:pPr>
      <w:shd w:val="clear" w:color="auto" w:fill="000080"/>
    </w:pPr>
  </w:style>
  <w:style w:type="paragraph" w:styleId="10">
    <w:name w:val="annotation text"/>
    <w:basedOn w:val="1"/>
    <w:link w:val="51"/>
    <w:autoRedefine/>
    <w:qFormat/>
    <w:uiPriority w:val="0"/>
    <w:pPr>
      <w:jc w:val="left"/>
    </w:pPr>
  </w:style>
  <w:style w:type="paragraph" w:styleId="11">
    <w:name w:val="index 6"/>
    <w:basedOn w:val="1"/>
    <w:next w:val="1"/>
    <w:autoRedefine/>
    <w:qFormat/>
    <w:uiPriority w:val="0"/>
    <w:pPr>
      <w:ind w:left="1260" w:hanging="210"/>
      <w:jc w:val="left"/>
    </w:pPr>
    <w:rPr>
      <w:rFonts w:ascii="Calibri" w:hAnsi="Calibri"/>
      <w:sz w:val="20"/>
      <w:szCs w:val="20"/>
    </w:rPr>
  </w:style>
  <w:style w:type="paragraph" w:styleId="12">
    <w:name w:val="Body Text"/>
    <w:basedOn w:val="1"/>
    <w:autoRedefine/>
    <w:qFormat/>
    <w:uiPriority w:val="1"/>
    <w:pPr>
      <w:autoSpaceDE w:val="0"/>
      <w:autoSpaceDN w:val="0"/>
      <w:ind w:left="120"/>
      <w:jc w:val="left"/>
    </w:pPr>
    <w:rPr>
      <w:rFonts w:ascii="仿宋_GB2312" w:hAnsi="仿宋_GB2312" w:eastAsia="仿宋_GB2312" w:cs="仿宋_GB2312"/>
      <w:kern w:val="0"/>
    </w:rPr>
  </w:style>
  <w:style w:type="paragraph" w:styleId="13">
    <w:name w:val="index 4"/>
    <w:basedOn w:val="1"/>
    <w:next w:val="1"/>
    <w:autoRedefine/>
    <w:qFormat/>
    <w:uiPriority w:val="0"/>
    <w:pPr>
      <w:ind w:left="840" w:hanging="210"/>
      <w:jc w:val="left"/>
    </w:pPr>
    <w:rPr>
      <w:rFonts w:ascii="Calibri" w:hAnsi="Calibri"/>
      <w:sz w:val="20"/>
      <w:szCs w:val="20"/>
    </w:rPr>
  </w:style>
  <w:style w:type="paragraph" w:styleId="14">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5">
    <w:name w:val="toc 3"/>
    <w:basedOn w:val="1"/>
    <w:next w:val="1"/>
    <w:autoRedefine/>
    <w:qFormat/>
    <w:uiPriority w:val="39"/>
    <w:pPr>
      <w:tabs>
        <w:tab w:val="right" w:leader="dot" w:pos="9241"/>
      </w:tabs>
      <w:ind w:firstLine="102" w:firstLineChars="100"/>
      <w:jc w:val="left"/>
    </w:pPr>
    <w:rPr>
      <w:rFonts w:ascii="宋体"/>
      <w:szCs w:val="21"/>
    </w:rPr>
  </w:style>
  <w:style w:type="paragraph" w:styleId="16">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7">
    <w:name w:val="index 3"/>
    <w:basedOn w:val="1"/>
    <w:next w:val="1"/>
    <w:autoRedefine/>
    <w:qFormat/>
    <w:uiPriority w:val="0"/>
    <w:pPr>
      <w:ind w:left="630" w:hanging="210"/>
      <w:jc w:val="left"/>
    </w:pPr>
    <w:rPr>
      <w:rFonts w:ascii="Calibri" w:hAnsi="Calibri"/>
      <w:sz w:val="20"/>
      <w:szCs w:val="20"/>
    </w:rPr>
  </w:style>
  <w:style w:type="paragraph" w:styleId="18">
    <w:name w:val="Date"/>
    <w:basedOn w:val="1"/>
    <w:next w:val="1"/>
    <w:link w:val="149"/>
    <w:autoRedefine/>
    <w:qFormat/>
    <w:uiPriority w:val="0"/>
    <w:pPr>
      <w:ind w:left="100" w:leftChars="2500"/>
    </w:pPr>
  </w:style>
  <w:style w:type="paragraph" w:styleId="19">
    <w:name w:val="endnote text"/>
    <w:basedOn w:val="1"/>
    <w:autoRedefine/>
    <w:semiHidden/>
    <w:qFormat/>
    <w:uiPriority w:val="0"/>
    <w:pPr>
      <w:snapToGrid w:val="0"/>
      <w:jc w:val="left"/>
    </w:pPr>
  </w:style>
  <w:style w:type="paragraph" w:styleId="20">
    <w:name w:val="Balloon Text"/>
    <w:basedOn w:val="1"/>
    <w:link w:val="49"/>
    <w:autoRedefine/>
    <w:qFormat/>
    <w:uiPriority w:val="0"/>
    <w:rPr>
      <w:sz w:val="18"/>
      <w:szCs w:val="18"/>
    </w:rPr>
  </w:style>
  <w:style w:type="paragraph" w:styleId="21">
    <w:name w:val="footer"/>
    <w:basedOn w:val="1"/>
    <w:autoRedefine/>
    <w:qFormat/>
    <w:uiPriority w:val="0"/>
    <w:pPr>
      <w:snapToGrid w:val="0"/>
      <w:ind w:right="210" w:rightChars="100"/>
      <w:jc w:val="right"/>
    </w:pPr>
    <w:rPr>
      <w:sz w:val="18"/>
      <w:szCs w:val="18"/>
    </w:rPr>
  </w:style>
  <w:style w:type="paragraph" w:styleId="22">
    <w:name w:val="header"/>
    <w:basedOn w:val="1"/>
    <w:autoRedefine/>
    <w:qFormat/>
    <w:uiPriority w:val="0"/>
    <w:pPr>
      <w:snapToGrid w:val="0"/>
      <w:jc w:val="left"/>
    </w:pPr>
    <w:rPr>
      <w:sz w:val="18"/>
      <w:szCs w:val="18"/>
    </w:rPr>
  </w:style>
  <w:style w:type="paragraph" w:styleId="23">
    <w:name w:val="toc 1"/>
    <w:basedOn w:val="1"/>
    <w:next w:val="1"/>
    <w:autoRedefine/>
    <w:qFormat/>
    <w:uiPriority w:val="39"/>
    <w:pPr>
      <w:tabs>
        <w:tab w:val="right" w:leader="dot" w:pos="9241"/>
      </w:tabs>
      <w:spacing w:beforeLines="25" w:afterLines="25"/>
      <w:jc w:val="left"/>
    </w:pPr>
    <w:rPr>
      <w:rFonts w:ascii="宋体"/>
      <w:szCs w:val="21"/>
    </w:rPr>
  </w:style>
  <w:style w:type="paragraph" w:styleId="24">
    <w:name w:val="toc 4"/>
    <w:basedOn w:val="1"/>
    <w:next w:val="1"/>
    <w:autoRedefine/>
    <w:qFormat/>
    <w:uiPriority w:val="39"/>
    <w:pPr>
      <w:tabs>
        <w:tab w:val="right" w:leader="dot" w:pos="9241"/>
      </w:tabs>
      <w:ind w:firstLine="198" w:firstLineChars="200"/>
      <w:jc w:val="left"/>
    </w:pPr>
    <w:rPr>
      <w:rFonts w:ascii="宋体"/>
      <w:szCs w:val="21"/>
    </w:rPr>
  </w:style>
  <w:style w:type="paragraph" w:styleId="25">
    <w:name w:val="index heading"/>
    <w:basedOn w:val="1"/>
    <w:next w:val="26"/>
    <w:autoRedefine/>
    <w:qFormat/>
    <w:uiPriority w:val="0"/>
    <w:pPr>
      <w:spacing w:before="120" w:after="120"/>
      <w:jc w:val="center"/>
    </w:pPr>
    <w:rPr>
      <w:rFonts w:ascii="Calibri" w:hAnsi="Calibri"/>
      <w:b/>
      <w:bCs/>
      <w:iCs/>
      <w:szCs w:val="20"/>
    </w:rPr>
  </w:style>
  <w:style w:type="paragraph" w:styleId="26">
    <w:name w:val="index 1"/>
    <w:basedOn w:val="1"/>
    <w:next w:val="27"/>
    <w:autoRedefine/>
    <w:qFormat/>
    <w:uiPriority w:val="0"/>
    <w:pPr>
      <w:tabs>
        <w:tab w:val="right" w:leader="dot" w:pos="9299"/>
      </w:tabs>
      <w:jc w:val="left"/>
    </w:pPr>
    <w:rPr>
      <w:rFonts w:ascii="宋体"/>
      <w:szCs w:val="21"/>
    </w:rPr>
  </w:style>
  <w:style w:type="paragraph" w:customStyle="1" w:styleId="27">
    <w:name w:val="段"/>
    <w:link w:val="5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autoRedefine/>
    <w:qFormat/>
    <w:uiPriority w:val="0"/>
    <w:pPr>
      <w:tabs>
        <w:tab w:val="left" w:pos="0"/>
      </w:tabs>
      <w:snapToGrid w:val="0"/>
      <w:ind w:left="720" w:hanging="357"/>
      <w:jc w:val="left"/>
    </w:pPr>
    <w:rPr>
      <w:rFonts w:ascii="宋体"/>
      <w:sz w:val="18"/>
      <w:szCs w:val="18"/>
    </w:rPr>
  </w:style>
  <w:style w:type="paragraph" w:styleId="29">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30">
    <w:name w:val="index 7"/>
    <w:basedOn w:val="1"/>
    <w:next w:val="1"/>
    <w:autoRedefine/>
    <w:qFormat/>
    <w:uiPriority w:val="0"/>
    <w:pPr>
      <w:ind w:left="1470" w:hanging="210"/>
      <w:jc w:val="left"/>
    </w:pPr>
    <w:rPr>
      <w:rFonts w:ascii="Calibri" w:hAnsi="Calibri"/>
      <w:sz w:val="20"/>
      <w:szCs w:val="20"/>
    </w:rPr>
  </w:style>
  <w:style w:type="paragraph" w:styleId="31">
    <w:name w:val="index 9"/>
    <w:basedOn w:val="1"/>
    <w:next w:val="1"/>
    <w:autoRedefine/>
    <w:qFormat/>
    <w:uiPriority w:val="0"/>
    <w:pPr>
      <w:ind w:left="1890" w:hanging="210"/>
      <w:jc w:val="left"/>
    </w:pPr>
    <w:rPr>
      <w:rFonts w:ascii="Calibri" w:hAnsi="Calibri"/>
      <w:sz w:val="20"/>
      <w:szCs w:val="20"/>
    </w:rPr>
  </w:style>
  <w:style w:type="paragraph" w:styleId="32">
    <w:name w:val="toc 2"/>
    <w:basedOn w:val="1"/>
    <w:next w:val="1"/>
    <w:link w:val="220"/>
    <w:autoRedefine/>
    <w:qFormat/>
    <w:uiPriority w:val="39"/>
    <w:pPr>
      <w:tabs>
        <w:tab w:val="right" w:leader="dot" w:pos="9241"/>
      </w:tabs>
    </w:pPr>
    <w:rPr>
      <w:rFonts w:ascii="宋体"/>
      <w:szCs w:val="21"/>
    </w:rPr>
  </w:style>
  <w:style w:type="paragraph" w:styleId="33">
    <w:name w:val="toc 9"/>
    <w:basedOn w:val="1"/>
    <w:next w:val="1"/>
    <w:autoRedefine/>
    <w:semiHidden/>
    <w:qFormat/>
    <w:uiPriority w:val="0"/>
    <w:pPr>
      <w:ind w:left="1470"/>
      <w:jc w:val="left"/>
    </w:pPr>
    <w:rPr>
      <w:sz w:val="20"/>
      <w:szCs w:val="20"/>
    </w:rPr>
  </w:style>
  <w:style w:type="paragraph" w:styleId="3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2"/>
    <w:basedOn w:val="1"/>
    <w:next w:val="1"/>
    <w:autoRedefine/>
    <w:qFormat/>
    <w:uiPriority w:val="0"/>
    <w:pPr>
      <w:ind w:left="420" w:hanging="210"/>
      <w:jc w:val="left"/>
    </w:pPr>
    <w:rPr>
      <w:rFonts w:ascii="Calibri" w:hAnsi="Calibri"/>
      <w:sz w:val="20"/>
      <w:szCs w:val="20"/>
    </w:rPr>
  </w:style>
  <w:style w:type="paragraph" w:styleId="36">
    <w:name w:val="annotation subject"/>
    <w:basedOn w:val="10"/>
    <w:next w:val="10"/>
    <w:link w:val="52"/>
    <w:autoRedefine/>
    <w:qFormat/>
    <w:uiPriority w:val="0"/>
    <w:rPr>
      <w:b/>
      <w:bCs/>
    </w:r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endnote reference"/>
    <w:basedOn w:val="39"/>
    <w:autoRedefine/>
    <w:semiHidden/>
    <w:qFormat/>
    <w:uiPriority w:val="0"/>
    <w:rPr>
      <w:vertAlign w:val="superscript"/>
    </w:rPr>
  </w:style>
  <w:style w:type="character" w:styleId="41">
    <w:name w:val="page number"/>
    <w:basedOn w:val="39"/>
    <w:autoRedefine/>
    <w:qFormat/>
    <w:uiPriority w:val="0"/>
    <w:rPr>
      <w:rFonts w:ascii="Times New Roman" w:hAnsi="Times New Roman" w:eastAsia="宋体"/>
      <w:sz w:val="18"/>
    </w:rPr>
  </w:style>
  <w:style w:type="character" w:styleId="42">
    <w:name w:val="FollowedHyperlink"/>
    <w:basedOn w:val="39"/>
    <w:autoRedefine/>
    <w:qFormat/>
    <w:uiPriority w:val="99"/>
    <w:rPr>
      <w:color w:val="800080"/>
      <w:u w:val="single"/>
    </w:rPr>
  </w:style>
  <w:style w:type="character" w:styleId="43">
    <w:name w:val="Emphasis"/>
    <w:basedOn w:val="39"/>
    <w:autoRedefine/>
    <w:qFormat/>
    <w:uiPriority w:val="20"/>
    <w:rPr>
      <w:i/>
      <w:iCs/>
    </w:rPr>
  </w:style>
  <w:style w:type="character" w:styleId="44">
    <w:name w:val="Hyperlink"/>
    <w:basedOn w:val="39"/>
    <w:autoRedefine/>
    <w:qFormat/>
    <w:uiPriority w:val="99"/>
    <w:rPr>
      <w:color w:val="0000FF"/>
      <w:spacing w:val="0"/>
      <w:w w:val="100"/>
      <w:szCs w:val="21"/>
      <w:u w:val="single"/>
      <w:lang w:val="en-US" w:eastAsia="zh-CN"/>
    </w:rPr>
  </w:style>
  <w:style w:type="character" w:styleId="45">
    <w:name w:val="annotation reference"/>
    <w:basedOn w:val="39"/>
    <w:autoRedefine/>
    <w:qFormat/>
    <w:uiPriority w:val="0"/>
    <w:rPr>
      <w:sz w:val="21"/>
      <w:szCs w:val="21"/>
    </w:rPr>
  </w:style>
  <w:style w:type="character" w:styleId="46">
    <w:name w:val="footnote reference"/>
    <w:basedOn w:val="39"/>
    <w:autoRedefine/>
    <w:semiHidden/>
    <w:qFormat/>
    <w:uiPriority w:val="0"/>
    <w:rPr>
      <w:vertAlign w:val="superscript"/>
    </w:rPr>
  </w:style>
  <w:style w:type="character" w:customStyle="1" w:styleId="47">
    <w:name w:val="标题 3 字符"/>
    <w:basedOn w:val="39"/>
    <w:link w:val="4"/>
    <w:autoRedefine/>
    <w:semiHidden/>
    <w:qFormat/>
    <w:uiPriority w:val="0"/>
    <w:rPr>
      <w:b/>
      <w:bCs/>
      <w:kern w:val="2"/>
      <w:sz w:val="32"/>
      <w:szCs w:val="32"/>
    </w:rPr>
  </w:style>
  <w:style w:type="character" w:customStyle="1" w:styleId="48">
    <w:name w:val="发布"/>
    <w:basedOn w:val="39"/>
    <w:autoRedefine/>
    <w:qFormat/>
    <w:uiPriority w:val="0"/>
    <w:rPr>
      <w:rFonts w:ascii="黑体" w:eastAsia="黑体"/>
      <w:spacing w:val="85"/>
      <w:w w:val="100"/>
      <w:position w:val="3"/>
      <w:sz w:val="28"/>
      <w:szCs w:val="28"/>
    </w:rPr>
  </w:style>
  <w:style w:type="character" w:customStyle="1" w:styleId="49">
    <w:name w:val="批注框文本 字符"/>
    <w:basedOn w:val="39"/>
    <w:link w:val="20"/>
    <w:autoRedefine/>
    <w:qFormat/>
    <w:uiPriority w:val="0"/>
    <w:rPr>
      <w:kern w:val="2"/>
      <w:sz w:val="18"/>
      <w:szCs w:val="18"/>
    </w:rPr>
  </w:style>
  <w:style w:type="character" w:customStyle="1" w:styleId="50">
    <w:name w:val="段 Char"/>
    <w:basedOn w:val="39"/>
    <w:link w:val="27"/>
    <w:autoRedefine/>
    <w:qFormat/>
    <w:uiPriority w:val="0"/>
    <w:rPr>
      <w:rFonts w:ascii="宋体"/>
      <w:sz w:val="21"/>
      <w:lang w:val="en-US" w:eastAsia="zh-CN" w:bidi="ar-SA"/>
    </w:rPr>
  </w:style>
  <w:style w:type="character" w:customStyle="1" w:styleId="51">
    <w:name w:val="批注文字 字符"/>
    <w:basedOn w:val="39"/>
    <w:link w:val="10"/>
    <w:autoRedefine/>
    <w:qFormat/>
    <w:uiPriority w:val="0"/>
    <w:rPr>
      <w:kern w:val="2"/>
      <w:sz w:val="21"/>
      <w:szCs w:val="24"/>
    </w:rPr>
  </w:style>
  <w:style w:type="character" w:customStyle="1" w:styleId="52">
    <w:name w:val="批注主题 字符"/>
    <w:basedOn w:val="51"/>
    <w:link w:val="36"/>
    <w:autoRedefine/>
    <w:qFormat/>
    <w:uiPriority w:val="0"/>
    <w:rPr>
      <w:b/>
      <w:bCs/>
      <w:kern w:val="2"/>
      <w:sz w:val="21"/>
      <w:szCs w:val="24"/>
    </w:rPr>
  </w:style>
  <w:style w:type="character" w:customStyle="1" w:styleId="53">
    <w:name w:val="首示例 Char"/>
    <w:basedOn w:val="39"/>
    <w:link w:val="54"/>
    <w:autoRedefine/>
    <w:qFormat/>
    <w:uiPriority w:val="0"/>
    <w:rPr>
      <w:rFonts w:ascii="宋体" w:hAnsi="宋体"/>
      <w:kern w:val="2"/>
      <w:sz w:val="18"/>
      <w:szCs w:val="18"/>
    </w:rPr>
  </w:style>
  <w:style w:type="paragraph" w:customStyle="1" w:styleId="54">
    <w:name w:val="首示例"/>
    <w:next w:val="27"/>
    <w:link w:val="53"/>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5">
    <w:name w:val="附录公式 Char"/>
    <w:basedOn w:val="50"/>
    <w:link w:val="56"/>
    <w:autoRedefine/>
    <w:qFormat/>
    <w:uiPriority w:val="0"/>
    <w:rPr>
      <w:rFonts w:ascii="宋体"/>
      <w:sz w:val="21"/>
      <w:lang w:val="en-US" w:eastAsia="zh-CN" w:bidi="ar-SA"/>
    </w:rPr>
  </w:style>
  <w:style w:type="paragraph" w:customStyle="1" w:styleId="56">
    <w:name w:val="附录公式"/>
    <w:basedOn w:val="27"/>
    <w:next w:val="27"/>
    <w:link w:val="55"/>
    <w:autoRedefine/>
    <w:qFormat/>
    <w:uiPriority w:val="0"/>
  </w:style>
  <w:style w:type="paragraph" w:customStyle="1" w:styleId="57">
    <w:name w:val="附录图标题"/>
    <w:basedOn w:val="1"/>
    <w:next w:val="27"/>
    <w:autoRedefine/>
    <w:qFormat/>
    <w:uiPriority w:val="0"/>
    <w:pPr>
      <w:tabs>
        <w:tab w:val="left" w:pos="363"/>
      </w:tabs>
      <w:spacing w:beforeLines="50" w:afterLines="50"/>
      <w:jc w:val="center"/>
    </w:pPr>
    <w:rPr>
      <w:rFonts w:ascii="黑体" w:eastAsia="黑体"/>
      <w:szCs w:val="21"/>
    </w:rPr>
  </w:style>
  <w:style w:type="paragraph" w:customStyle="1" w:styleId="5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9">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1">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2">
    <w:name w:val="其他发布日期"/>
    <w:basedOn w:val="61"/>
    <w:autoRedefine/>
    <w:qFormat/>
    <w:uiPriority w:val="0"/>
    <w:pPr>
      <w:framePr w:wrap="around" w:vAnchor="page" w:hAnchor="text" w:x="1419"/>
    </w:pPr>
  </w:style>
  <w:style w:type="paragraph" w:customStyle="1" w:styleId="63">
    <w:name w:val="附录四级无"/>
    <w:basedOn w:val="64"/>
    <w:autoRedefine/>
    <w:qFormat/>
    <w:uiPriority w:val="0"/>
    <w:pPr>
      <w:tabs>
        <w:tab w:val="left" w:pos="360"/>
      </w:tabs>
      <w:spacing w:beforeLines="0" w:afterLines="0"/>
    </w:pPr>
    <w:rPr>
      <w:rFonts w:ascii="宋体" w:eastAsia="宋体"/>
      <w:szCs w:val="21"/>
    </w:rPr>
  </w:style>
  <w:style w:type="paragraph" w:customStyle="1" w:styleId="64">
    <w:name w:val="附录四级条标题"/>
    <w:basedOn w:val="65"/>
    <w:next w:val="27"/>
    <w:autoRedefine/>
    <w:qFormat/>
    <w:uiPriority w:val="0"/>
    <w:pPr>
      <w:tabs>
        <w:tab w:val="left" w:pos="360"/>
      </w:tabs>
      <w:outlineLvl w:val="5"/>
    </w:pPr>
  </w:style>
  <w:style w:type="paragraph" w:customStyle="1" w:styleId="65">
    <w:name w:val="附录三级条标题"/>
    <w:basedOn w:val="66"/>
    <w:next w:val="27"/>
    <w:autoRedefine/>
    <w:qFormat/>
    <w:uiPriority w:val="0"/>
    <w:pPr>
      <w:tabs>
        <w:tab w:val="left" w:pos="360"/>
      </w:tabs>
      <w:outlineLvl w:val="4"/>
    </w:pPr>
  </w:style>
  <w:style w:type="paragraph" w:customStyle="1" w:styleId="66">
    <w:name w:val="附录二级条标题"/>
    <w:basedOn w:val="1"/>
    <w:next w:val="27"/>
    <w:autoRedefine/>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7">
    <w:name w:val="二级无"/>
    <w:basedOn w:val="68"/>
    <w:autoRedefine/>
    <w:qFormat/>
    <w:uiPriority w:val="0"/>
    <w:pPr>
      <w:spacing w:beforeLines="0" w:afterLines="0"/>
    </w:pPr>
    <w:rPr>
      <w:rFonts w:ascii="宋体" w:eastAsia="宋体"/>
    </w:rPr>
  </w:style>
  <w:style w:type="paragraph" w:customStyle="1" w:styleId="68">
    <w:name w:val="二级条标题"/>
    <w:basedOn w:val="69"/>
    <w:next w:val="27"/>
    <w:autoRedefine/>
    <w:qFormat/>
    <w:uiPriority w:val="0"/>
    <w:pPr>
      <w:spacing w:before="50" w:after="50"/>
      <w:outlineLvl w:val="3"/>
    </w:pPr>
  </w:style>
  <w:style w:type="paragraph" w:customStyle="1" w:styleId="69">
    <w:name w:val="一级条标题"/>
    <w:next w:val="27"/>
    <w:link w:val="151"/>
    <w:autoRedefine/>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70">
    <w:name w:val="字母编号列项（一级）"/>
    <w:link w:val="150"/>
    <w:autoRedefine/>
    <w:qFormat/>
    <w:uiPriority w:val="0"/>
    <w:pPr>
      <w:tabs>
        <w:tab w:val="left" w:pos="840"/>
      </w:tabs>
      <w:jc w:val="both"/>
    </w:pPr>
    <w:rPr>
      <w:rFonts w:ascii="宋体" w:hAnsi="Times New Roman" w:eastAsia="宋体" w:cs="Times New Roman"/>
      <w:sz w:val="21"/>
      <w:lang w:val="en-US" w:eastAsia="zh-CN" w:bidi="ar-SA"/>
    </w:rPr>
  </w:style>
  <w:style w:type="paragraph" w:customStyle="1" w:styleId="71">
    <w:name w:val="四级条标题"/>
    <w:basedOn w:val="72"/>
    <w:next w:val="27"/>
    <w:autoRedefine/>
    <w:qFormat/>
    <w:uiPriority w:val="0"/>
    <w:pPr>
      <w:outlineLvl w:val="5"/>
    </w:pPr>
  </w:style>
  <w:style w:type="paragraph" w:customStyle="1" w:styleId="72">
    <w:name w:val="三级条标题"/>
    <w:basedOn w:val="68"/>
    <w:next w:val="27"/>
    <w:autoRedefine/>
    <w:qFormat/>
    <w:uiPriority w:val="0"/>
    <w:pPr>
      <w:outlineLvl w:val="4"/>
    </w:pPr>
  </w:style>
  <w:style w:type="paragraph" w:customStyle="1" w:styleId="73">
    <w:name w:val="其他标准标志"/>
    <w:basedOn w:val="58"/>
    <w:autoRedefine/>
    <w:qFormat/>
    <w:uiPriority w:val="0"/>
    <w:pPr>
      <w:framePr w:w="6101" w:wrap="around" w:vAnchor="page" w:hAnchor="page" w:x="4673" w:y="942"/>
    </w:pPr>
    <w:rPr>
      <w:w w:val="130"/>
    </w:rPr>
  </w:style>
  <w:style w:type="paragraph" w:customStyle="1" w:styleId="74">
    <w:name w:val="附录三级无"/>
    <w:basedOn w:val="65"/>
    <w:autoRedefine/>
    <w:qFormat/>
    <w:uiPriority w:val="0"/>
    <w:pPr>
      <w:tabs>
        <w:tab w:val="clear" w:pos="360"/>
      </w:tabs>
      <w:spacing w:beforeLines="0" w:afterLines="0"/>
    </w:pPr>
    <w:rPr>
      <w:rFonts w:ascii="宋体" w:eastAsia="宋体"/>
      <w:szCs w:val="21"/>
    </w:rPr>
  </w:style>
  <w:style w:type="paragraph" w:customStyle="1" w:styleId="75">
    <w:name w:val="列项◆（三级）"/>
    <w:basedOn w:val="1"/>
    <w:autoRedefine/>
    <w:qFormat/>
    <w:uiPriority w:val="0"/>
    <w:pPr>
      <w:tabs>
        <w:tab w:val="left" w:pos="1678"/>
      </w:tabs>
      <w:ind w:left="1678" w:hanging="414"/>
    </w:pPr>
    <w:rPr>
      <w:rFonts w:ascii="宋体"/>
      <w:szCs w:val="21"/>
    </w:rPr>
  </w:style>
  <w:style w:type="paragraph" w:customStyle="1" w:styleId="76">
    <w:name w:val="附录二级无"/>
    <w:basedOn w:val="66"/>
    <w:autoRedefine/>
    <w:qFormat/>
    <w:uiPriority w:val="0"/>
    <w:pPr>
      <w:tabs>
        <w:tab w:val="clear" w:pos="360"/>
      </w:tabs>
      <w:spacing w:beforeLines="0" w:afterLines="0"/>
    </w:pPr>
    <w:rPr>
      <w:rFonts w:ascii="宋体" w:eastAsia="宋体"/>
      <w:szCs w:val="21"/>
    </w:rPr>
  </w:style>
  <w:style w:type="paragraph" w:customStyle="1" w:styleId="77">
    <w:name w:val="五级条标题"/>
    <w:basedOn w:val="71"/>
    <w:next w:val="27"/>
    <w:autoRedefine/>
    <w:qFormat/>
    <w:uiPriority w:val="0"/>
    <w:pPr>
      <w:outlineLvl w:val="6"/>
    </w:pPr>
  </w:style>
  <w:style w:type="paragraph" w:customStyle="1" w:styleId="78">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0">
    <w:name w:val="附录章标题"/>
    <w:next w:val="27"/>
    <w:autoRedefine/>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2">
    <w:name w:val="附录图标号"/>
    <w:basedOn w:val="1"/>
    <w:autoRedefine/>
    <w:qFormat/>
    <w:uiPriority w:val="0"/>
    <w:pPr>
      <w:keepNext/>
      <w:pageBreakBefore/>
      <w:widowControl/>
      <w:spacing w:line="14" w:lineRule="exact"/>
      <w:ind w:firstLine="363"/>
      <w:jc w:val="center"/>
      <w:outlineLvl w:val="0"/>
    </w:pPr>
    <w:rPr>
      <w:color w:val="FFFFFF"/>
    </w:rPr>
  </w:style>
  <w:style w:type="paragraph" w:customStyle="1" w:styleId="83">
    <w:name w:val="注：（正文）"/>
    <w:basedOn w:val="84"/>
    <w:next w:val="27"/>
    <w:autoRedefine/>
    <w:qFormat/>
    <w:uiPriority w:val="0"/>
  </w:style>
  <w:style w:type="paragraph" w:customStyle="1" w:styleId="84">
    <w:name w:val="注："/>
    <w:next w:val="27"/>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5">
    <w:name w:val="示例×："/>
    <w:basedOn w:val="86"/>
    <w:autoRedefine/>
    <w:qFormat/>
    <w:uiPriority w:val="0"/>
    <w:pPr>
      <w:spacing w:beforeLines="0" w:afterLines="0"/>
      <w:ind w:firstLine="363"/>
      <w:outlineLvl w:val="9"/>
    </w:pPr>
    <w:rPr>
      <w:rFonts w:ascii="宋体" w:eastAsia="宋体"/>
      <w:sz w:val="18"/>
      <w:szCs w:val="18"/>
    </w:rPr>
  </w:style>
  <w:style w:type="paragraph" w:customStyle="1" w:styleId="86">
    <w:name w:val="章标题"/>
    <w:next w:val="27"/>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87">
    <w:name w:val="条文脚注"/>
    <w:basedOn w:val="28"/>
    <w:autoRedefine/>
    <w:qFormat/>
    <w:uiPriority w:val="0"/>
    <w:pPr>
      <w:ind w:left="0" w:firstLine="0"/>
      <w:jc w:val="both"/>
    </w:pPr>
  </w:style>
  <w:style w:type="paragraph" w:customStyle="1" w:styleId="88">
    <w:name w:val="附录标识"/>
    <w:basedOn w:val="1"/>
    <w:next w:val="27"/>
    <w:autoRedefine/>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9">
    <w:name w:val="目次、标准名称标题"/>
    <w:basedOn w:val="1"/>
    <w:next w:val="27"/>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0">
    <w:name w:val="示例后文字"/>
    <w:basedOn w:val="27"/>
    <w:next w:val="27"/>
    <w:autoRedefine/>
    <w:qFormat/>
    <w:uiPriority w:val="0"/>
    <w:pPr>
      <w:ind w:firstLine="360"/>
    </w:pPr>
    <w:rPr>
      <w:sz w:val="18"/>
    </w:rPr>
  </w:style>
  <w:style w:type="paragraph" w:customStyle="1" w:styleId="9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2">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4">
    <w:name w:val="图的脚注"/>
    <w:next w:val="27"/>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5">
    <w:name w:val="附录表标题"/>
    <w:basedOn w:val="1"/>
    <w:next w:val="27"/>
    <w:autoRedefine/>
    <w:qFormat/>
    <w:uiPriority w:val="0"/>
    <w:pPr>
      <w:tabs>
        <w:tab w:val="left" w:pos="180"/>
      </w:tabs>
      <w:spacing w:beforeLines="50" w:afterLines="50"/>
      <w:jc w:val="center"/>
    </w:pPr>
    <w:rPr>
      <w:rFonts w:ascii="黑体" w:eastAsia="黑体"/>
      <w:szCs w:val="21"/>
    </w:rPr>
  </w:style>
  <w:style w:type="paragraph" w:customStyle="1" w:styleId="96">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97">
    <w:name w:val="列项●（二级）"/>
    <w:autoRedefine/>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98">
    <w:name w:val="封面正文"/>
    <w:autoRedefine/>
    <w:qFormat/>
    <w:uiPriority w:val="0"/>
    <w:pPr>
      <w:jc w:val="both"/>
    </w:pPr>
    <w:rPr>
      <w:rFonts w:ascii="Times New Roman" w:hAnsi="Times New Roman" w:eastAsia="宋体" w:cs="Times New Roman"/>
      <w:lang w:val="en-US" w:eastAsia="zh-CN" w:bidi="ar-SA"/>
    </w:rPr>
  </w:style>
  <w:style w:type="paragraph" w:customStyle="1" w:styleId="99">
    <w:name w:val="附录标题"/>
    <w:basedOn w:val="27"/>
    <w:next w:val="27"/>
    <w:autoRedefine/>
    <w:qFormat/>
    <w:uiPriority w:val="0"/>
    <w:pPr>
      <w:ind w:firstLine="0" w:firstLineChars="0"/>
      <w:jc w:val="center"/>
    </w:pPr>
    <w:rPr>
      <w:rFonts w:ascii="黑体" w:eastAsia="黑体"/>
    </w:rPr>
  </w:style>
  <w:style w:type="paragraph" w:customStyle="1" w:styleId="100">
    <w:name w:val="示例"/>
    <w:next w:val="96"/>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2">
    <w:name w:val="图表脚注说明"/>
    <w:basedOn w:val="1"/>
    <w:autoRedefine/>
    <w:qFormat/>
    <w:uiPriority w:val="0"/>
    <w:pPr>
      <w:ind w:left="544" w:hanging="181"/>
    </w:pPr>
    <w:rPr>
      <w:rFonts w:ascii="宋体"/>
      <w:sz w:val="18"/>
      <w:szCs w:val="18"/>
    </w:rPr>
  </w:style>
  <w:style w:type="paragraph" w:customStyle="1" w:styleId="103">
    <w:name w:val="数字编号列项（二级）"/>
    <w:autoRedefine/>
    <w:qFormat/>
    <w:uiPriority w:val="0"/>
    <w:pPr>
      <w:numPr>
        <w:ilvl w:val="1"/>
        <w:numId w:val="1"/>
      </w:numPr>
      <w:tabs>
        <w:tab w:val="left" w:pos="840"/>
      </w:tabs>
      <w:jc w:val="both"/>
    </w:pPr>
    <w:rPr>
      <w:rFonts w:ascii="宋体" w:hAnsi="Times New Roman" w:eastAsia="宋体" w:cs="Times New Roman"/>
      <w:sz w:val="21"/>
      <w:lang w:val="en-US" w:eastAsia="zh-CN" w:bidi="ar-SA"/>
    </w:rPr>
  </w:style>
  <w:style w:type="paragraph" w:customStyle="1" w:styleId="104">
    <w:name w:val="封面标准名称2"/>
    <w:basedOn w:val="105"/>
    <w:autoRedefine/>
    <w:qFormat/>
    <w:uiPriority w:val="0"/>
    <w:pPr>
      <w:framePr w:wrap="around" w:y="4469"/>
      <w:spacing w:beforeLines="630"/>
    </w:pPr>
  </w:style>
  <w:style w:type="paragraph" w:customStyle="1" w:styleId="105">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6">
    <w:name w:val="注×：（正文）"/>
    <w:autoRedefine/>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7">
    <w:name w:val="附录数字编号列项（二级）"/>
    <w:autoRedefine/>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8">
    <w:name w:val="编号列项（三级）"/>
    <w:autoRedefine/>
    <w:qFormat/>
    <w:uiPriority w:val="0"/>
    <w:pPr>
      <w:numPr>
        <w:ilvl w:val="2"/>
        <w:numId w:val="1"/>
      </w:numPr>
      <w:tabs>
        <w:tab w:val="left" w:pos="840"/>
      </w:tabs>
    </w:pPr>
    <w:rPr>
      <w:rFonts w:ascii="宋体" w:hAnsi="Times New Roman" w:eastAsia="宋体" w:cs="Times New Roman"/>
      <w:sz w:val="21"/>
      <w:lang w:val="en-US" w:eastAsia="zh-CN" w:bidi="ar-SA"/>
    </w:rPr>
  </w:style>
  <w:style w:type="paragraph" w:customStyle="1" w:styleId="109">
    <w:name w:val="封面标准文稿类别2"/>
    <w:basedOn w:val="110"/>
    <w:autoRedefine/>
    <w:qFormat/>
    <w:uiPriority w:val="0"/>
    <w:pPr>
      <w:framePr w:wrap="around" w:y="4469"/>
    </w:pPr>
  </w:style>
  <w:style w:type="paragraph" w:customStyle="1" w:styleId="110">
    <w:name w:val="封面标准文稿类别"/>
    <w:basedOn w:val="111"/>
    <w:autoRedefine/>
    <w:qFormat/>
    <w:uiPriority w:val="0"/>
    <w:pPr>
      <w:framePr w:wrap="around"/>
      <w:spacing w:after="160" w:line="240" w:lineRule="auto"/>
    </w:pPr>
    <w:rPr>
      <w:sz w:val="24"/>
    </w:rPr>
  </w:style>
  <w:style w:type="paragraph" w:customStyle="1" w:styleId="111">
    <w:name w:val="封面一致性程度标识"/>
    <w:basedOn w:val="112"/>
    <w:autoRedefine/>
    <w:qFormat/>
    <w:uiPriority w:val="0"/>
    <w:pPr>
      <w:framePr w:wrap="around"/>
      <w:spacing w:before="440"/>
    </w:pPr>
    <w:rPr>
      <w:rFonts w:ascii="宋体" w:eastAsia="宋体"/>
    </w:rPr>
  </w:style>
  <w:style w:type="paragraph" w:customStyle="1" w:styleId="112">
    <w:name w:val="封面标准英文名称"/>
    <w:basedOn w:val="105"/>
    <w:autoRedefine/>
    <w:qFormat/>
    <w:uiPriority w:val="0"/>
    <w:pPr>
      <w:framePr w:wrap="around"/>
      <w:spacing w:before="370" w:line="400" w:lineRule="exact"/>
    </w:pPr>
    <w:rPr>
      <w:rFonts w:ascii="Times New Roman"/>
      <w:sz w:val="28"/>
      <w:szCs w:val="28"/>
    </w:rPr>
  </w:style>
  <w:style w:type="paragraph" w:customStyle="1" w:styleId="113">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14">
    <w:name w:val="标准书眉_偶数页"/>
    <w:basedOn w:val="92"/>
    <w:next w:val="1"/>
    <w:autoRedefine/>
    <w:qFormat/>
    <w:uiPriority w:val="0"/>
    <w:pPr>
      <w:jc w:val="left"/>
    </w:pPr>
  </w:style>
  <w:style w:type="paragraph" w:customStyle="1" w:styleId="115">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6">
    <w:name w:val="标准书眉一"/>
    <w:autoRedefine/>
    <w:qFormat/>
    <w:uiPriority w:val="0"/>
    <w:pPr>
      <w:jc w:val="both"/>
    </w:pPr>
    <w:rPr>
      <w:rFonts w:ascii="Times New Roman" w:hAnsi="Times New Roman" w:eastAsia="宋体" w:cs="Times New Roman"/>
      <w:lang w:val="en-US" w:eastAsia="zh-CN" w:bidi="ar-SA"/>
    </w:rPr>
  </w:style>
  <w:style w:type="paragraph" w:customStyle="1" w:styleId="117">
    <w:name w:val="参考文献"/>
    <w:basedOn w:val="1"/>
    <w:next w:val="27"/>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8">
    <w:name w:val="参考文献、索引标题"/>
    <w:basedOn w:val="1"/>
    <w:next w:val="27"/>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9">
    <w:name w:val="发布部门"/>
    <w:next w:val="27"/>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1">
    <w:name w:val="三级无"/>
    <w:basedOn w:val="72"/>
    <w:autoRedefine/>
    <w:qFormat/>
    <w:uiPriority w:val="0"/>
    <w:pPr>
      <w:spacing w:beforeLines="0" w:afterLines="0"/>
    </w:pPr>
    <w:rPr>
      <w:rFonts w:ascii="宋体" w:eastAsia="宋体"/>
    </w:rPr>
  </w:style>
  <w:style w:type="paragraph" w:customStyle="1" w:styleId="122">
    <w:name w:val="实施日期"/>
    <w:basedOn w:val="61"/>
    <w:autoRedefine/>
    <w:qFormat/>
    <w:uiPriority w:val="0"/>
    <w:pPr>
      <w:framePr w:wrap="around" w:vAnchor="page" w:hAnchor="text"/>
      <w:jc w:val="right"/>
    </w:pPr>
  </w:style>
  <w:style w:type="paragraph" w:customStyle="1" w:styleId="123">
    <w:name w:val="封面标准文稿编辑信息"/>
    <w:basedOn w:val="110"/>
    <w:autoRedefine/>
    <w:qFormat/>
    <w:uiPriority w:val="0"/>
    <w:pPr>
      <w:framePr w:wrap="around"/>
      <w:spacing w:before="180" w:line="180" w:lineRule="exact"/>
    </w:pPr>
    <w:rPr>
      <w:sz w:val="21"/>
    </w:rPr>
  </w:style>
  <w:style w:type="paragraph" w:customStyle="1" w:styleId="124">
    <w:name w:val="图标脚注说明"/>
    <w:basedOn w:val="27"/>
    <w:autoRedefine/>
    <w:qFormat/>
    <w:uiPriority w:val="0"/>
    <w:pPr>
      <w:ind w:left="840" w:hanging="420" w:firstLineChars="0"/>
    </w:pPr>
    <w:rPr>
      <w:sz w:val="18"/>
      <w:szCs w:val="18"/>
    </w:rPr>
  </w:style>
  <w:style w:type="paragraph" w:customStyle="1" w:styleId="125">
    <w:name w:val="附录表标号"/>
    <w:basedOn w:val="1"/>
    <w:next w:val="27"/>
    <w:autoRedefine/>
    <w:qFormat/>
    <w:uiPriority w:val="0"/>
    <w:pPr>
      <w:spacing w:line="14" w:lineRule="exact"/>
      <w:ind w:left="811" w:hanging="448"/>
      <w:jc w:val="center"/>
      <w:outlineLvl w:val="0"/>
    </w:pPr>
    <w:rPr>
      <w:color w:val="FFFFFF"/>
    </w:rPr>
  </w:style>
  <w:style w:type="paragraph" w:customStyle="1" w:styleId="126">
    <w:name w:val="五级无"/>
    <w:basedOn w:val="77"/>
    <w:autoRedefine/>
    <w:qFormat/>
    <w:uiPriority w:val="0"/>
    <w:pPr>
      <w:spacing w:beforeLines="0" w:afterLines="0"/>
    </w:pPr>
    <w:rPr>
      <w:rFonts w:ascii="宋体" w:eastAsia="宋体"/>
    </w:rPr>
  </w:style>
  <w:style w:type="paragraph" w:customStyle="1" w:styleId="12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8">
    <w:name w:val="附录公式编号制表符"/>
    <w:basedOn w:val="1"/>
    <w:next w:val="27"/>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29">
    <w:name w:val="正文公式编号制表符"/>
    <w:basedOn w:val="27"/>
    <w:next w:val="27"/>
    <w:autoRedefine/>
    <w:qFormat/>
    <w:uiPriority w:val="0"/>
    <w:pPr>
      <w:ind w:firstLine="0" w:firstLineChars="0"/>
    </w:pPr>
  </w:style>
  <w:style w:type="paragraph" w:customStyle="1" w:styleId="130">
    <w:name w:val="附录五级条标题"/>
    <w:basedOn w:val="64"/>
    <w:next w:val="27"/>
    <w:autoRedefine/>
    <w:qFormat/>
    <w:uiPriority w:val="0"/>
    <w:pPr>
      <w:outlineLvl w:val="6"/>
    </w:pPr>
  </w:style>
  <w:style w:type="paragraph" w:customStyle="1" w:styleId="131">
    <w:name w:val="封面一致性程度标识2"/>
    <w:basedOn w:val="111"/>
    <w:autoRedefine/>
    <w:qFormat/>
    <w:uiPriority w:val="0"/>
    <w:pPr>
      <w:framePr w:wrap="around" w:y="4469"/>
    </w:pPr>
  </w:style>
  <w:style w:type="paragraph" w:customStyle="1" w:styleId="132">
    <w:name w:val="附录五级无"/>
    <w:basedOn w:val="130"/>
    <w:autoRedefine/>
    <w:qFormat/>
    <w:uiPriority w:val="0"/>
    <w:pPr>
      <w:tabs>
        <w:tab w:val="clear" w:pos="360"/>
      </w:tabs>
      <w:spacing w:beforeLines="0" w:afterLines="0"/>
    </w:pPr>
    <w:rPr>
      <w:rFonts w:ascii="宋体" w:eastAsia="宋体"/>
      <w:szCs w:val="21"/>
    </w:rPr>
  </w:style>
  <w:style w:type="paragraph" w:customStyle="1" w:styleId="133">
    <w:name w:val="附录一级条标题"/>
    <w:basedOn w:val="80"/>
    <w:next w:val="27"/>
    <w:autoRedefine/>
    <w:qFormat/>
    <w:uiPriority w:val="0"/>
    <w:pPr>
      <w:autoSpaceDN w:val="0"/>
      <w:spacing w:beforeLines="50" w:afterLines="50"/>
      <w:outlineLvl w:val="2"/>
    </w:pPr>
  </w:style>
  <w:style w:type="paragraph" w:customStyle="1" w:styleId="134">
    <w:name w:val="附录一级无"/>
    <w:basedOn w:val="133"/>
    <w:autoRedefine/>
    <w:qFormat/>
    <w:uiPriority w:val="0"/>
    <w:pPr>
      <w:tabs>
        <w:tab w:val="clear" w:pos="360"/>
      </w:tabs>
      <w:spacing w:beforeLines="0" w:afterLines="0"/>
    </w:pPr>
    <w:rPr>
      <w:rFonts w:ascii="宋体" w:eastAsia="宋体"/>
      <w:szCs w:val="21"/>
    </w:rPr>
  </w:style>
  <w:style w:type="paragraph" w:customStyle="1" w:styleId="135">
    <w:name w:val="列出段落1"/>
    <w:basedOn w:val="1"/>
    <w:autoRedefine/>
    <w:qFormat/>
    <w:uiPriority w:val="34"/>
    <w:pPr>
      <w:ind w:firstLine="420" w:firstLineChars="200"/>
    </w:pPr>
  </w:style>
  <w:style w:type="paragraph" w:customStyle="1" w:styleId="136">
    <w:name w:val="附录字母编号列项（一级）"/>
    <w:autoRedefine/>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38">
    <w:name w:val="其他发布部门"/>
    <w:basedOn w:val="119"/>
    <w:autoRedefine/>
    <w:qFormat/>
    <w:uiPriority w:val="0"/>
    <w:pPr>
      <w:framePr w:wrap="around" w:y="15310"/>
      <w:spacing w:line="0" w:lineRule="atLeast"/>
    </w:pPr>
    <w:rPr>
      <w:rFonts w:ascii="黑体" w:eastAsia="黑体"/>
      <w:b w:val="0"/>
    </w:rPr>
  </w:style>
  <w:style w:type="paragraph" w:customStyle="1" w:styleId="139">
    <w:name w:val="前言、引言标题"/>
    <w:next w:val="27"/>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0">
    <w:name w:val="四级无"/>
    <w:basedOn w:val="71"/>
    <w:autoRedefine/>
    <w:qFormat/>
    <w:uiPriority w:val="0"/>
    <w:pPr>
      <w:spacing w:beforeLines="0" w:afterLines="0"/>
    </w:pPr>
    <w:rPr>
      <w:rFonts w:ascii="宋体" w:eastAsia="宋体"/>
    </w:rPr>
  </w:style>
  <w:style w:type="paragraph" w:customStyle="1" w:styleId="141">
    <w:name w:val="一级无"/>
    <w:basedOn w:val="69"/>
    <w:autoRedefine/>
    <w:qFormat/>
    <w:uiPriority w:val="0"/>
    <w:pPr>
      <w:spacing w:beforeLines="0" w:afterLines="0"/>
    </w:pPr>
    <w:rPr>
      <w:rFonts w:ascii="宋体" w:eastAsia="宋体"/>
    </w:rPr>
  </w:style>
  <w:style w:type="paragraph" w:customStyle="1" w:styleId="142">
    <w:name w:val="正文表标题"/>
    <w:next w:val="27"/>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3">
    <w:name w:val="正文图标题"/>
    <w:next w:val="27"/>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4">
    <w:name w:val="终结线"/>
    <w:basedOn w:val="1"/>
    <w:autoRedefine/>
    <w:qFormat/>
    <w:uiPriority w:val="0"/>
    <w:pPr>
      <w:framePr w:hSpace="181" w:vSpace="181" w:wrap="around" w:vAnchor="text" w:hAnchor="margin" w:xAlign="center" w:y="285"/>
    </w:pPr>
  </w:style>
  <w:style w:type="paragraph" w:customStyle="1" w:styleId="145">
    <w:name w:val="其他实施日期"/>
    <w:basedOn w:val="122"/>
    <w:autoRedefine/>
    <w:qFormat/>
    <w:uiPriority w:val="0"/>
    <w:pPr>
      <w:framePr w:wrap="around"/>
    </w:pPr>
  </w:style>
  <w:style w:type="paragraph" w:customStyle="1" w:styleId="146">
    <w:name w:val="封面标准英文名称2"/>
    <w:basedOn w:val="112"/>
    <w:autoRedefine/>
    <w:qFormat/>
    <w:uiPriority w:val="0"/>
    <w:pPr>
      <w:framePr w:wrap="around" w:y="4469"/>
    </w:pPr>
  </w:style>
  <w:style w:type="paragraph" w:customStyle="1" w:styleId="147">
    <w:name w:val="封面标准文稿编辑信息2"/>
    <w:basedOn w:val="123"/>
    <w:autoRedefine/>
    <w:qFormat/>
    <w:uiPriority w:val="0"/>
    <w:pPr>
      <w:framePr w:wrap="around" w:y="4469"/>
    </w:pPr>
  </w:style>
  <w:style w:type="character" w:customStyle="1" w:styleId="148">
    <w:name w:val="highlight"/>
    <w:basedOn w:val="39"/>
    <w:autoRedefine/>
    <w:qFormat/>
    <w:uiPriority w:val="0"/>
  </w:style>
  <w:style w:type="character" w:customStyle="1" w:styleId="149">
    <w:name w:val="日期 字符"/>
    <w:basedOn w:val="39"/>
    <w:link w:val="18"/>
    <w:autoRedefine/>
    <w:qFormat/>
    <w:uiPriority w:val="0"/>
    <w:rPr>
      <w:kern w:val="2"/>
      <w:sz w:val="21"/>
      <w:szCs w:val="24"/>
    </w:rPr>
  </w:style>
  <w:style w:type="character" w:customStyle="1" w:styleId="150">
    <w:name w:val="字母编号列项（一级） Char"/>
    <w:basedOn w:val="39"/>
    <w:link w:val="70"/>
    <w:autoRedefine/>
    <w:qFormat/>
    <w:uiPriority w:val="0"/>
    <w:rPr>
      <w:rFonts w:ascii="宋体"/>
      <w:sz w:val="21"/>
    </w:rPr>
  </w:style>
  <w:style w:type="character" w:customStyle="1" w:styleId="151">
    <w:name w:val="一级条标题 Char"/>
    <w:link w:val="69"/>
    <w:autoRedefine/>
    <w:qFormat/>
    <w:uiPriority w:val="99"/>
    <w:rPr>
      <w:rFonts w:ascii="黑体" w:eastAsia="黑体"/>
      <w:sz w:val="21"/>
      <w:szCs w:val="21"/>
    </w:rPr>
  </w:style>
  <w:style w:type="character" w:customStyle="1" w:styleId="152">
    <w:name w:val="标题 1 字符"/>
    <w:basedOn w:val="39"/>
    <w:link w:val="2"/>
    <w:autoRedefine/>
    <w:qFormat/>
    <w:uiPriority w:val="0"/>
    <w:rPr>
      <w:rFonts w:ascii="宋体" w:hAnsi="宋体"/>
      <w:b/>
      <w:kern w:val="44"/>
      <w:sz w:val="48"/>
      <w:szCs w:val="48"/>
    </w:rPr>
  </w:style>
  <w:style w:type="paragraph" w:customStyle="1" w:styleId="153">
    <w:name w:val="列出段落2"/>
    <w:basedOn w:val="1"/>
    <w:autoRedefine/>
    <w:qFormat/>
    <w:uiPriority w:val="34"/>
    <w:pPr>
      <w:ind w:firstLine="420" w:firstLineChars="200"/>
    </w:pPr>
    <w:rPr>
      <w:rFonts w:ascii="Calibri" w:hAnsi="Calibri"/>
      <w:szCs w:val="22"/>
    </w:rPr>
  </w:style>
  <w:style w:type="character" w:customStyle="1" w:styleId="154">
    <w:name w:val="样式1 Char"/>
    <w:basedOn w:val="150"/>
    <w:link w:val="155"/>
    <w:autoRedefine/>
    <w:qFormat/>
    <w:uiPriority w:val="0"/>
    <w:rPr>
      <w:rFonts w:ascii="宋体"/>
      <w:sz w:val="21"/>
    </w:rPr>
  </w:style>
  <w:style w:type="paragraph" w:customStyle="1" w:styleId="155">
    <w:name w:val="样式1"/>
    <w:basedOn w:val="70"/>
    <w:link w:val="154"/>
    <w:autoRedefine/>
    <w:qFormat/>
    <w:uiPriority w:val="0"/>
    <w:pPr>
      <w:tabs>
        <w:tab w:val="left" w:pos="2520"/>
        <w:tab w:val="left" w:pos="3699"/>
      </w:tabs>
      <w:ind w:left="2749" w:hanging="850"/>
    </w:pPr>
  </w:style>
  <w:style w:type="character" w:customStyle="1" w:styleId="156">
    <w:name w:val="样式2 Char"/>
    <w:basedOn w:val="150"/>
    <w:link w:val="157"/>
    <w:autoRedefine/>
    <w:qFormat/>
    <w:uiPriority w:val="0"/>
    <w:rPr>
      <w:rFonts w:ascii="宋体"/>
      <w:sz w:val="21"/>
    </w:rPr>
  </w:style>
  <w:style w:type="paragraph" w:customStyle="1" w:styleId="157">
    <w:name w:val="样式2"/>
    <w:basedOn w:val="70"/>
    <w:link w:val="156"/>
    <w:autoRedefine/>
    <w:qFormat/>
    <w:uiPriority w:val="0"/>
    <w:pPr>
      <w:ind w:left="623" w:hanging="425"/>
    </w:pPr>
  </w:style>
  <w:style w:type="paragraph" w:customStyle="1" w:styleId="158">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9">
    <w:name w:val="TOC 标题1"/>
    <w:basedOn w:val="2"/>
    <w:next w:val="1"/>
    <w:autoRedefine/>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376092" w:themeColor="accent1" w:themeShade="BF"/>
      <w:kern w:val="0"/>
      <w:sz w:val="32"/>
      <w:szCs w:val="32"/>
    </w:rPr>
  </w:style>
  <w:style w:type="character" w:customStyle="1" w:styleId="160">
    <w:name w:val="标题 2 字符"/>
    <w:basedOn w:val="39"/>
    <w:link w:val="3"/>
    <w:autoRedefine/>
    <w:semiHidden/>
    <w:qFormat/>
    <w:uiPriority w:val="0"/>
    <w:rPr>
      <w:rFonts w:asciiTheme="majorHAnsi" w:hAnsiTheme="majorHAnsi" w:eastAsiaTheme="majorEastAsia" w:cstheme="majorBidi"/>
      <w:b/>
      <w:bCs/>
      <w:kern w:val="2"/>
      <w:sz w:val="32"/>
      <w:szCs w:val="32"/>
    </w:rPr>
  </w:style>
  <w:style w:type="paragraph" w:customStyle="1" w:styleId="16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6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4">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6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6">
    <w:name w:val="xl67"/>
    <w:basedOn w:val="1"/>
    <w:autoRedefine/>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167">
    <w:name w:val="xl68"/>
    <w:basedOn w:val="1"/>
    <w:autoRedefine/>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8">
    <w:name w:val="xl69"/>
    <w:basedOn w:val="1"/>
    <w:autoRedefine/>
    <w:qFormat/>
    <w:uiPriority w:val="0"/>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169">
    <w:name w:val="xl70"/>
    <w:basedOn w:val="1"/>
    <w:autoRedefine/>
    <w:qFormat/>
    <w:uiPriority w:val="0"/>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70">
    <w:name w:val="xl71"/>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71">
    <w:name w:val="xl7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2">
    <w:name w:val="xl7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3">
    <w:name w:val="xl74"/>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4">
    <w:name w:val="xl7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5">
    <w:name w:val="xl76"/>
    <w:basedOn w:val="1"/>
    <w:autoRedefine/>
    <w:qFormat/>
    <w:uiPriority w:val="0"/>
    <w:pPr>
      <w:widowControl/>
      <w:pBdr>
        <w:lef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xl77"/>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7">
    <w:name w:val="xl78"/>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78">
    <w:name w:val="xl79"/>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9">
    <w:name w:val="xl8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xl81"/>
    <w:basedOn w:val="1"/>
    <w:autoRedefine/>
    <w:qFormat/>
    <w:uiPriority w:val="0"/>
    <w:pPr>
      <w:widowControl/>
      <w:pBdr>
        <w:top w:val="single" w:color="auto" w:sz="4" w:space="0"/>
        <w:lef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81">
    <w:name w:val="xl82"/>
    <w:basedOn w:val="1"/>
    <w:autoRedefine/>
    <w:qFormat/>
    <w:uiPriority w:val="0"/>
    <w:pPr>
      <w:widowControl/>
      <w:pBdr>
        <w:top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styleId="182">
    <w:name w:val="List Paragraph"/>
    <w:basedOn w:val="1"/>
    <w:autoRedefine/>
    <w:unhideWhenUsed/>
    <w:qFormat/>
    <w:uiPriority w:val="99"/>
    <w:pPr>
      <w:ind w:firstLine="420" w:firstLineChars="200"/>
    </w:pPr>
  </w:style>
  <w:style w:type="paragraph" w:customStyle="1" w:styleId="183">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4">
    <w:name w:val="font1"/>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85">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86">
    <w:name w:val="font3"/>
    <w:basedOn w:val="1"/>
    <w:autoRedefine/>
    <w:qFormat/>
    <w:uiPriority w:val="0"/>
    <w:pPr>
      <w:widowControl/>
      <w:spacing w:before="100" w:beforeAutospacing="1" w:after="100" w:afterAutospacing="1"/>
      <w:jc w:val="left"/>
    </w:pPr>
    <w:rPr>
      <w:rFonts w:ascii="黑体" w:hAnsi="黑体" w:eastAsia="黑体" w:cs="宋体"/>
      <w:color w:val="000000"/>
      <w:kern w:val="0"/>
      <w:sz w:val="18"/>
      <w:szCs w:val="18"/>
    </w:rPr>
  </w:style>
  <w:style w:type="paragraph" w:customStyle="1" w:styleId="187">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8">
    <w:name w:val="et3"/>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89">
    <w:name w:val="et4"/>
    <w:basedOn w:val="1"/>
    <w:autoRedefine/>
    <w:qFormat/>
    <w:uiPriority w:val="0"/>
    <w:pPr>
      <w:widowControl/>
      <w:pBdr>
        <w:top w:val="single" w:color="000000" w:sz="4" w:space="0"/>
        <w:lef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0">
    <w:name w:val="et5"/>
    <w:basedOn w:val="1"/>
    <w:autoRedefine/>
    <w:qFormat/>
    <w:uiPriority w:val="0"/>
    <w:pPr>
      <w:widowControl/>
      <w:pBdr>
        <w:top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1">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2">
    <w:name w:val="et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3">
    <w:name w:val="et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194">
    <w:name w:val="et9"/>
    <w:basedOn w:val="1"/>
    <w:autoRedefine/>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 w:val="18"/>
      <w:szCs w:val="18"/>
    </w:rPr>
  </w:style>
  <w:style w:type="paragraph" w:customStyle="1" w:styleId="195">
    <w:name w:val="et10"/>
    <w:basedOn w:val="1"/>
    <w:autoRedefine/>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6">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197">
    <w:name w:val="et12"/>
    <w:basedOn w:val="1"/>
    <w:autoRedefine/>
    <w:qFormat/>
    <w:uiPriority w:val="0"/>
    <w:pPr>
      <w:widowControl/>
      <w:pBdr>
        <w:left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198">
    <w:name w:val="et13"/>
    <w:basedOn w:val="1"/>
    <w:autoRedefine/>
    <w:qFormat/>
    <w:uiPriority w:val="0"/>
    <w:pPr>
      <w:widowControl/>
      <w:pBdr>
        <w:left w:val="single" w:color="000000" w:sz="4" w:space="0"/>
      </w:pBdr>
      <w:spacing w:before="100" w:beforeAutospacing="1" w:after="100" w:afterAutospacing="1"/>
      <w:jc w:val="center"/>
    </w:pPr>
    <w:rPr>
      <w:rFonts w:ascii="宋体" w:hAnsi="宋体" w:cs="宋体"/>
      <w:kern w:val="0"/>
      <w:sz w:val="18"/>
      <w:szCs w:val="18"/>
    </w:rPr>
  </w:style>
  <w:style w:type="paragraph" w:customStyle="1" w:styleId="199">
    <w:name w:val="et14"/>
    <w:basedOn w:val="1"/>
    <w:autoRedefine/>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0">
    <w:name w:val="et15"/>
    <w:basedOn w:val="1"/>
    <w:autoRedefine/>
    <w:qFormat/>
    <w:uiPriority w:val="0"/>
    <w:pPr>
      <w:widowControl/>
      <w:pBdr>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201">
    <w:name w:val="et16"/>
    <w:basedOn w:val="1"/>
    <w:autoRedefine/>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2">
    <w:name w:val="et1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203">
    <w:name w:val="et1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4">
    <w:name w:val="et19"/>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et20"/>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6">
    <w:name w:val="et21"/>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7">
    <w:name w:val="et22"/>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8">
    <w:name w:val="et2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kern w:val="0"/>
      <w:sz w:val="18"/>
      <w:szCs w:val="18"/>
    </w:rPr>
  </w:style>
  <w:style w:type="paragraph" w:customStyle="1" w:styleId="209">
    <w:name w:val="et2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0">
    <w:name w:val="et28"/>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1">
    <w:name w:val="et3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kern w:val="0"/>
      <w:sz w:val="18"/>
      <w:szCs w:val="18"/>
    </w:rPr>
  </w:style>
  <w:style w:type="paragraph" w:customStyle="1" w:styleId="212">
    <w:name w:val="et3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3">
    <w:name w:val="et2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4">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15">
    <w:name w:val="WPSOffice手动目录 1"/>
    <w:autoRedefine/>
    <w:qFormat/>
    <w:uiPriority w:val="0"/>
    <w:rPr>
      <w:rFonts w:asciiTheme="minorHAnsi" w:hAnsiTheme="minorHAnsi" w:eastAsiaTheme="minorEastAsia" w:cstheme="minorBidi"/>
      <w:lang w:val="en-US" w:eastAsia="zh-CN" w:bidi="ar-SA"/>
    </w:rPr>
  </w:style>
  <w:style w:type="paragraph" w:customStyle="1" w:styleId="216">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217">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218">
    <w:name w:val="样式3"/>
    <w:basedOn w:val="32"/>
    <w:link w:val="221"/>
    <w:autoRedefine/>
    <w:qFormat/>
    <w:uiPriority w:val="0"/>
    <w:pPr>
      <w:tabs>
        <w:tab w:val="right" w:leader="dot" w:pos="9354"/>
        <w:tab w:val="clear" w:pos="9241"/>
      </w:tabs>
      <w:spacing w:line="360" w:lineRule="auto"/>
      <w:ind w:firstLine="210" w:firstLineChars="100"/>
    </w:pPr>
    <w:rPr>
      <w:rFonts w:hAnsi="宋体" w:cs="宋体"/>
    </w:rPr>
  </w:style>
  <w:style w:type="paragraph" w:customStyle="1" w:styleId="219">
    <w:name w:val="样式4-1"/>
    <w:basedOn w:val="32"/>
    <w:link w:val="222"/>
    <w:autoRedefine/>
    <w:qFormat/>
    <w:uiPriority w:val="0"/>
    <w:pPr>
      <w:tabs>
        <w:tab w:val="right" w:leader="dot" w:pos="9354"/>
        <w:tab w:val="clear" w:pos="9241"/>
      </w:tabs>
      <w:spacing w:line="360" w:lineRule="auto"/>
    </w:pPr>
    <w:rPr>
      <w:rFonts w:hAnsi="宋体" w:cs="宋体"/>
    </w:rPr>
  </w:style>
  <w:style w:type="character" w:customStyle="1" w:styleId="220">
    <w:name w:val="目录 2 字符"/>
    <w:basedOn w:val="39"/>
    <w:link w:val="32"/>
    <w:autoRedefine/>
    <w:qFormat/>
    <w:uiPriority w:val="39"/>
    <w:rPr>
      <w:rFonts w:ascii="宋体"/>
      <w:kern w:val="2"/>
      <w:sz w:val="21"/>
      <w:szCs w:val="21"/>
    </w:rPr>
  </w:style>
  <w:style w:type="character" w:customStyle="1" w:styleId="221">
    <w:name w:val="样式3 字符"/>
    <w:basedOn w:val="220"/>
    <w:link w:val="218"/>
    <w:autoRedefine/>
    <w:qFormat/>
    <w:uiPriority w:val="0"/>
    <w:rPr>
      <w:rFonts w:ascii="宋体" w:hAnsi="宋体" w:cs="宋体"/>
      <w:kern w:val="2"/>
      <w:sz w:val="21"/>
      <w:szCs w:val="21"/>
    </w:rPr>
  </w:style>
  <w:style w:type="character" w:customStyle="1" w:styleId="222">
    <w:name w:val="样式4-1 字符"/>
    <w:basedOn w:val="220"/>
    <w:link w:val="219"/>
    <w:autoRedefine/>
    <w:qFormat/>
    <w:uiPriority w:val="0"/>
    <w:rPr>
      <w:rFonts w:ascii="宋体" w:hAnsi="宋体" w:cs="宋体"/>
      <w:kern w:val="2"/>
      <w:sz w:val="21"/>
      <w:szCs w:val="21"/>
    </w:rPr>
  </w:style>
  <w:style w:type="paragraph" w:customStyle="1" w:styleId="223">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fontstyle01"/>
    <w:basedOn w:val="39"/>
    <w:autoRedefine/>
    <w:qFormat/>
    <w:uiPriority w:val="0"/>
    <w:rPr>
      <w:rFonts w:hint="eastAsia" w:ascii="宋体" w:hAnsi="宋体" w:eastAsia="宋体"/>
      <w:color w:val="000000"/>
      <w:sz w:val="24"/>
      <w:szCs w:val="24"/>
    </w:rPr>
  </w:style>
  <w:style w:type="character" w:customStyle="1" w:styleId="225">
    <w:name w:val="fontstyle11"/>
    <w:basedOn w:val="39"/>
    <w:autoRedefine/>
    <w:qFormat/>
    <w:uiPriority w:val="0"/>
    <w:rPr>
      <w:rFonts w:hint="default" w:ascii="Calibri" w:hAnsi="Calibri" w:cs="Calibri"/>
      <w:color w:val="000000"/>
      <w:sz w:val="22"/>
      <w:szCs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8134</Words>
  <Characters>9183</Characters>
  <Lines>110</Lines>
  <Paragraphs>31</Paragraphs>
  <TotalTime>281</TotalTime>
  <ScaleCrop>false</ScaleCrop>
  <LinksUpToDate>false</LinksUpToDate>
  <CharactersWithSpaces>9524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2022-09-17T02:32:00Z</dcterms:created>
  <dc:creator>CNIS</dc:creator>
  <cp:lastModifiedBy>巧</cp:lastModifiedBy>
  <cp:lastPrinted>2022-03-04T22:16:00Z</cp:lastPrinted>
  <dcterms:modified xsi:type="dcterms:W3CDTF">2024-04-12T03:08:18Z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39826DBB6D5542A689D790DAD671257B_13</vt:lpwstr>
  </property>
</Properties>
</file>