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AB2199">
      <w:pPr>
        <w:pStyle w:val="81"/>
        <w:framePr w:w="9232" w:h="1145" w:hRule="exact" w:wrap="around" w:x="1502" w:y="2153"/>
        <w:ind w:left="210" w:leftChars="100"/>
        <w:rPr>
          <w:rFonts w:ascii="Times New Roman" w:hAnsi="Times New Roman"/>
          <w:sz w:val="52"/>
        </w:rPr>
      </w:pPr>
      <w:r>
        <w:rPr>
          <w:rFonts w:hint="eastAsia" w:ascii="Times New Roman" w:hAnsi="Times New Roman"/>
          <w:sz w:val="52"/>
        </w:rPr>
        <w:t>团体标准</w:t>
      </w:r>
    </w:p>
    <w:p w14:paraId="5D34BE6D">
      <w:pPr>
        <w:pStyle w:val="103"/>
        <w:framePr w:w="2665" w:wrap="around" w:x="7945" w:y="2680"/>
        <w:rPr>
          <w:rFonts w:hint="eastAsia" w:hAnsi="黑体"/>
        </w:rPr>
      </w:pPr>
    </w:p>
    <w:p w14:paraId="4B7A3F40">
      <w:pPr>
        <w:pStyle w:val="103"/>
        <w:framePr w:w="2665" w:wrap="around" w:x="7945" w:y="2680"/>
        <w:rPr>
          <w:rFonts w:hint="eastAsia" w:hAnsi="黑体"/>
        </w:rPr>
      </w:pPr>
      <w:r>
        <w:rPr>
          <w:rFonts w:hint="eastAsia" w:hAnsi="黑体"/>
        </w:rPr>
        <w:t>T/</w:t>
      </w:r>
      <w:r>
        <w:rPr>
          <w:rFonts w:hAnsi="黑体"/>
        </w:rPr>
        <w:t>C</w:t>
      </w:r>
      <w:r>
        <w:rPr>
          <w:rFonts w:hint="eastAsia" w:hAnsi="黑体"/>
        </w:rPr>
        <w:t>PMI XXX—202</w:t>
      </w:r>
      <w:r>
        <w:rPr>
          <w:rFonts w:hint="eastAsia" w:hAnsi="黑体"/>
          <w:lang w:val="en-US" w:eastAsia="zh-CN"/>
        </w:rPr>
        <w:t>X</w:t>
      </w:r>
      <w:r>
        <w:rPr>
          <w:rFonts w:hAnsi="黑体"/>
        </w:rPr>
        <w:t xml:space="preserve"> 0</w:t>
      </w:r>
      <w:r>
        <w:rPr>
          <w:rFonts w:hint="eastAsia" w:hAnsi="黑体"/>
        </w:rPr>
        <w:t>XX</w:t>
      </w:r>
      <w:r>
        <w:rPr>
          <w:rFonts w:hAnsi="黑体"/>
        </w:rPr>
        <w:t>—202</w:t>
      </w:r>
      <w:r>
        <w:rPr>
          <w:rFonts w:hint="eastAsia" w:hAnsi="黑体"/>
        </w:rPr>
        <w:t>X</w:t>
      </w:r>
    </w:p>
    <w:p w14:paraId="2BD96A6B">
      <w:pPr>
        <w:pStyle w:val="103"/>
        <w:framePr w:w="2665" w:wrap="around" w:x="7945" w:y="2680"/>
        <w:rPr>
          <w:rFonts w:hint="eastAsia" w:hAnsi="黑体"/>
          <w:sz w:val="21"/>
          <w:szCs w:val="21"/>
        </w:rPr>
      </w:pPr>
    </w:p>
    <w:p w14:paraId="4ED4617D">
      <w:pPr>
        <w:pStyle w:val="103"/>
        <w:framePr w:w="2665" w:wrap="around" w:x="7945" w:y="2680"/>
        <w:rPr>
          <w:rFonts w:hint="eastAsia" w:hAnsi="黑体"/>
          <w:sz w:val="21"/>
          <w:szCs w:val="21"/>
        </w:rPr>
      </w:pPr>
    </w:p>
    <w:p w14:paraId="2EF1886C">
      <w:pPr>
        <w:pStyle w:val="107"/>
        <w:framePr w:wrap="around" w:x="1471" w:y="5416"/>
        <w:rPr>
          <w:rFonts w:hint="eastAsia"/>
        </w:rPr>
      </w:pPr>
      <w:bookmarkStart w:id="0" w:name="FY"/>
    </w:p>
    <w:p w14:paraId="31ED04B1">
      <w:pPr>
        <w:pStyle w:val="107"/>
        <w:framePr w:wrap="around" w:x="1471" w:y="5416"/>
        <w:rPr>
          <w:rFonts w:hint="eastAsia"/>
        </w:rPr>
      </w:pPr>
    </w:p>
    <w:p w14:paraId="44ACD15A">
      <w:pPr>
        <w:pStyle w:val="107"/>
        <w:framePr w:wrap="around" w:x="1471" w:y="5416"/>
      </w:pPr>
      <w:r>
        <w:rPr>
          <w:rFonts w:hint="eastAsia"/>
        </w:rPr>
        <w:t>产业园区物业服务质量评价规范</w:t>
      </w:r>
    </w:p>
    <w:p w14:paraId="34E8347A">
      <w:pPr>
        <w:pStyle w:val="113"/>
        <w:framePr w:wrap="around" w:x="1471" w:y="5416"/>
      </w:pPr>
      <w:r>
        <w:rPr>
          <w:rFonts w:ascii="黑体" w:hAnsi="黑体" w:cs="黑体"/>
        </w:rPr>
        <w:t xml:space="preserve">Specification for </w:t>
      </w:r>
      <w:r>
        <w:rPr>
          <w:rFonts w:hint="eastAsia" w:ascii="黑体" w:hAnsi="黑体" w:cs="黑体"/>
        </w:rPr>
        <w:t>e</w:t>
      </w:r>
      <w:r>
        <w:rPr>
          <w:rFonts w:ascii="黑体" w:hAnsi="黑体" w:cs="黑体"/>
        </w:rPr>
        <w:t xml:space="preserve">valuation of </w:t>
      </w:r>
      <w:r>
        <w:rPr>
          <w:rFonts w:hint="eastAsia" w:ascii="黑体" w:hAnsi="黑体" w:cs="黑体"/>
        </w:rPr>
        <w:t>p</w:t>
      </w:r>
      <w:r>
        <w:rPr>
          <w:rFonts w:ascii="黑体" w:hAnsi="黑体" w:cs="黑体"/>
        </w:rPr>
        <w:t xml:space="preserve">roperty </w:t>
      </w:r>
      <w:r>
        <w:rPr>
          <w:rFonts w:hint="eastAsia" w:ascii="黑体" w:hAnsi="黑体" w:cs="黑体"/>
        </w:rPr>
        <w:t>s</w:t>
      </w:r>
      <w:r>
        <w:rPr>
          <w:rFonts w:ascii="黑体" w:hAnsi="黑体" w:cs="黑体"/>
        </w:rPr>
        <w:t xml:space="preserve">ervice </w:t>
      </w:r>
      <w:r>
        <w:rPr>
          <w:rFonts w:hint="eastAsia" w:ascii="黑体" w:hAnsi="黑体" w:cs="黑体"/>
        </w:rPr>
        <w:t>q</w:t>
      </w:r>
      <w:r>
        <w:rPr>
          <w:rFonts w:ascii="黑体" w:hAnsi="黑体" w:cs="黑体"/>
        </w:rPr>
        <w:t xml:space="preserve">uality in Industrial </w:t>
      </w:r>
      <w:r>
        <w:rPr>
          <w:rFonts w:hint="eastAsia" w:ascii="黑体" w:hAnsi="黑体" w:cs="黑体"/>
        </w:rPr>
        <w:t>p</w:t>
      </w:r>
      <w:r>
        <w:rPr>
          <w:rFonts w:ascii="黑体" w:hAnsi="黑体" w:cs="黑体"/>
        </w:rPr>
        <w:t>arks</w:t>
      </w:r>
    </w:p>
    <w:tbl>
      <w:tblPr>
        <w:tblStyle w:val="38"/>
        <w:tblW w:w="9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14:paraId="54FB9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855" w:type="dxa"/>
            <w:tcBorders>
              <w:top w:val="nil"/>
              <w:left w:val="nil"/>
              <w:bottom w:val="nil"/>
              <w:right w:val="nil"/>
            </w:tcBorders>
            <w:shd w:val="clear" w:color="auto" w:fill="auto"/>
          </w:tcPr>
          <w:p w14:paraId="4B31EA6F">
            <w:pPr>
              <w:pStyle w:val="112"/>
              <w:framePr w:wrap="around" w:x="1471" w:y="5416"/>
            </w:pPr>
          </w:p>
        </w:tc>
      </w:tr>
      <w:tr w14:paraId="1E767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855" w:type="dxa"/>
            <w:tcBorders>
              <w:top w:val="nil"/>
              <w:left w:val="nil"/>
              <w:bottom w:val="nil"/>
              <w:right w:val="nil"/>
            </w:tcBorders>
            <w:shd w:val="clear" w:color="auto" w:fill="auto"/>
          </w:tcPr>
          <w:p w14:paraId="52799C85">
            <w:pPr>
              <w:pStyle w:val="125"/>
              <w:framePr w:wrap="around" w:x="1471" w:y="5416"/>
              <w:jc w:val="center"/>
            </w:pPr>
            <w:r>
              <w:rPr>
                <w:rFonts w:hint="eastAsia"/>
                <w:b w:val="0"/>
                <w:bCs/>
                <w:sz w:val="21"/>
                <w:szCs w:val="28"/>
                <w:lang w:eastAsia="zh-CN"/>
              </w:rPr>
              <w:t>（</w:t>
            </w:r>
            <w:r>
              <w:rPr>
                <w:rFonts w:hint="eastAsia"/>
                <w:b w:val="0"/>
                <w:bCs/>
                <w:sz w:val="21"/>
                <w:szCs w:val="28"/>
                <w:lang w:val="en-US" w:eastAsia="zh-CN"/>
              </w:rPr>
              <w:t>征求意见稿</w:t>
            </w:r>
            <w:r>
              <w:rPr>
                <w:rFonts w:hint="eastAsia"/>
                <w:b w:val="0"/>
                <w:bCs/>
                <w:sz w:val="21"/>
                <w:szCs w:val="28"/>
                <w:lang w:eastAsia="zh-CN"/>
              </w:rPr>
              <w:t>）</w:t>
            </w:r>
          </w:p>
        </w:tc>
      </w:tr>
      <w:bookmarkEnd w:id="0"/>
    </w:tbl>
    <w:p w14:paraId="41CE8EA4">
      <w:pPr>
        <w:pStyle w:val="147"/>
        <w:framePr w:w="2450" w:wrap="around" w:hAnchor="page" w:x="8551" w:y="14446"/>
      </w:pPr>
      <w:bookmarkStart w:id="1" w:name="SY"/>
      <w:r>
        <w:rPr>
          <w:rFonts w:hint="eastAsia" w:ascii="黑体"/>
        </w:rPr>
        <w:t>20</w:t>
      </w:r>
      <w:r>
        <w:rPr>
          <w:rFonts w:ascii="黑体"/>
        </w:rPr>
        <w:t>2</w:t>
      </w:r>
      <w:r>
        <w:rPr>
          <w:rFonts w:hint="eastAsia" w:ascii="黑体"/>
          <w:lang w:val="en-US" w:eastAsia="zh-CN"/>
        </w:rPr>
        <w:t>X</w:t>
      </w:r>
      <w:r>
        <w:rPr>
          <w:rFonts w:ascii="黑体"/>
        </w:rPr>
        <w:t>-</w:t>
      </w:r>
      <w:r>
        <w:rPr>
          <w:rFonts w:hint="eastAsia" w:ascii="黑体"/>
        </w:rPr>
        <w:t>XX</w:t>
      </w:r>
      <w:r>
        <w:rPr>
          <w:rFonts w:ascii="黑体"/>
        </w:rPr>
        <w:t>-</w:t>
      </w:r>
      <w:r>
        <w:rPr>
          <w:rFonts w:hint="eastAsia" w:ascii="黑体"/>
        </w:rPr>
        <w:t>XX</w:t>
      </w:r>
      <w:r>
        <w:rPr>
          <w:rFonts w:hint="eastAsia"/>
        </w:rPr>
        <w:t>实施</w:t>
      </w:r>
    </w:p>
    <w:bookmarkEnd w:id="1"/>
    <w:tbl>
      <w:tblPr>
        <w:tblStyle w:val="3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11"/>
        <w:gridCol w:w="1560"/>
      </w:tblGrid>
      <w:tr w14:paraId="1DC96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11" w:type="dxa"/>
            <w:vAlign w:val="center"/>
          </w:tcPr>
          <w:p w14:paraId="2C431195">
            <w:pPr>
              <w:pStyle w:val="140"/>
              <w:framePr w:wrap="around" w:x="2138" w:y="15205"/>
              <w:spacing w:before="156" w:after="156"/>
              <w:jc w:val="right"/>
              <w:rPr>
                <w:rFonts w:hint="eastAsia" w:hAnsi="黑体" w:cs="黑体"/>
                <w:szCs w:val="18"/>
              </w:rPr>
            </w:pPr>
            <w:r>
              <w:rPr>
                <w:rFonts w:hint="eastAsia" w:hAnsi="黑体" w:cs="黑体"/>
                <w:szCs w:val="18"/>
              </w:rPr>
              <w:t>中国物业管理协会</w:t>
            </w:r>
          </w:p>
        </w:tc>
        <w:tc>
          <w:tcPr>
            <w:tcW w:w="1560" w:type="dxa"/>
            <w:vAlign w:val="center"/>
          </w:tcPr>
          <w:p w14:paraId="2406391A">
            <w:pPr>
              <w:pStyle w:val="140"/>
              <w:framePr w:wrap="around" w:x="2138" w:y="15205"/>
              <w:spacing w:before="156" w:after="156"/>
              <w:rPr>
                <w:rFonts w:hint="eastAsia" w:hAnsi="黑体" w:cs="黑体"/>
                <w:szCs w:val="18"/>
              </w:rPr>
            </w:pPr>
            <w:r>
              <w:rPr>
                <w:rFonts w:hint="eastAsia" w:hAnsi="黑体" w:cs="黑体"/>
                <w:szCs w:val="18"/>
              </w:rPr>
              <w:t>发布</w:t>
            </w:r>
          </w:p>
        </w:tc>
      </w:tr>
    </w:tbl>
    <w:p w14:paraId="52B01B03">
      <w:pPr>
        <w:pStyle w:val="140"/>
        <w:framePr w:wrap="around" w:x="2138" w:y="15205"/>
        <w:spacing w:before="156" w:after="156"/>
        <w:jc w:val="both"/>
      </w:pPr>
      <w:r>
        <w:rPr>
          <w:rFonts w:hint="eastAsia" w:hAnsi="黑体" w:cs="黑体"/>
        </w:rPr>
        <w:t xml:space="preserve">  </w:t>
      </w:r>
    </w:p>
    <w:p w14:paraId="490926CB">
      <w:pPr>
        <w:pStyle w:val="64"/>
        <w:framePr w:w="2450" w:wrap="around" w:hAnchor="page" w:x="1426" w:y="14416"/>
      </w:pPr>
      <w:r>
        <w:rPr>
          <w:rFonts w:hint="eastAsia" w:ascii="黑体"/>
        </w:rPr>
        <w:t>20</w:t>
      </w:r>
      <w:r>
        <w:rPr>
          <w:rFonts w:ascii="黑体"/>
          <w:szCs w:val="22"/>
        </w:rPr>
        <w:t>2</w:t>
      </w:r>
      <w:r>
        <w:rPr>
          <w:rFonts w:hint="eastAsia" w:ascii="黑体"/>
          <w:szCs w:val="22"/>
          <w:lang w:val="en-US" w:eastAsia="zh-CN"/>
        </w:rPr>
        <w:t>X</w:t>
      </w:r>
      <w:r>
        <w:rPr>
          <w:rFonts w:hint="eastAsia" w:ascii="黑体"/>
          <w:szCs w:val="22"/>
        </w:rPr>
        <w:t>-XX-XX</w:t>
      </w:r>
      <w:r>
        <w:rPr>
          <w:rFonts w:hint="eastAsia"/>
        </w:rPr>
        <w:t>发布</w:t>
      </w:r>
    </w:p>
    <w:p w14:paraId="3A1D9BBC">
      <w:pPr>
        <w:pStyle w:val="129"/>
        <w:rPr>
          <w:rFonts w:hint="default" w:hAnsi="黑体" w:eastAsia="黑体" w:cs="黑体"/>
          <w:lang w:val="en-US" w:eastAsia="zh-CN"/>
        </w:rPr>
      </w:pPr>
      <w:r>
        <w:rPr>
          <w:rFonts w:hint="eastAsia" w:hAnsi="黑体" w:cs="黑体"/>
        </w:rPr>
        <w:t>ICS </w:t>
      </w:r>
      <w:r>
        <w:rPr>
          <w:rFonts w:hint="eastAsia" w:hAnsi="黑体" w:cs="黑体"/>
          <w:lang w:val="en-US" w:eastAsia="zh-CN"/>
        </w:rPr>
        <w:t>03.080.30</w:t>
      </w:r>
    </w:p>
    <w:p w14:paraId="1CEC4242">
      <w:pPr>
        <w:pStyle w:val="129"/>
        <w:rPr>
          <w:rFonts w:hint="default" w:hAnsi="黑体" w:eastAsia="黑体" w:cs="黑体"/>
          <w:lang w:val="en-US" w:eastAsia="zh-CN"/>
        </w:rPr>
      </w:pPr>
      <w:r>
        <w:rPr>
          <w:rFonts w:hint="eastAsia" w:hAnsi="黑体" w:cs="黑体"/>
          <w:lang w:val="en-US" w:eastAsia="zh-CN"/>
        </w:rPr>
        <w:t xml:space="preserve">CCS </w:t>
      </w:r>
      <w:r>
        <w:rPr>
          <w:rFonts w:hint="eastAsia" w:hAnsi="黑体" w:cs="黑体"/>
        </w:rPr>
        <w:fldChar w:fldCharType="begin">
          <w:ffData>
            <w:name w:val="WXFLH"/>
            <w:enabled/>
            <w:calcOnExit w:val="0"/>
            <w:helpText w:type="text" w:val="请输入中国标准文献分类号："/>
            <w:textInput>
              <w:default w:val="A 12"/>
            </w:textInput>
          </w:ffData>
        </w:fldChar>
      </w:r>
      <w:bookmarkStart w:id="2" w:name="WXFLH"/>
      <w:r>
        <w:rPr>
          <w:rFonts w:hint="eastAsia" w:hAnsi="黑体" w:cs="黑体"/>
        </w:rPr>
        <w:instrText xml:space="preserve"> FORMTEXT </w:instrText>
      </w:r>
      <w:r>
        <w:rPr>
          <w:rFonts w:hint="eastAsia" w:hAnsi="黑体" w:cs="黑体"/>
        </w:rPr>
        <w:fldChar w:fldCharType="separate"/>
      </w:r>
      <w:r>
        <w:rPr>
          <w:rFonts w:hint="eastAsia" w:hAnsi="黑体" w:cs="黑体"/>
        </w:rPr>
        <w:t xml:space="preserve">A </w:t>
      </w:r>
      <w:r>
        <w:rPr>
          <w:rFonts w:hint="eastAsia" w:hAnsi="黑体" w:cs="黑体"/>
        </w:rPr>
        <w:fldChar w:fldCharType="end"/>
      </w:r>
      <w:bookmarkEnd w:id="2"/>
      <w:r>
        <w:rPr>
          <w:rFonts w:hint="eastAsia" w:hAnsi="黑体" w:cs="黑体"/>
          <w:lang w:val="en-US" w:eastAsia="zh-CN"/>
        </w:rPr>
        <w:t>16</w:t>
      </w:r>
    </w:p>
    <w:tbl>
      <w:tblPr>
        <w:tblStyle w:val="38"/>
        <w:tblW w:w="957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70"/>
      </w:tblGrid>
      <w:tr w14:paraId="2D0AF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70" w:type="dxa"/>
            <w:tcBorders>
              <w:top w:val="nil"/>
              <w:left w:val="nil"/>
              <w:bottom w:val="nil"/>
              <w:right w:val="nil"/>
            </w:tcBorders>
            <w:shd w:val="clear" w:color="auto" w:fill="auto"/>
          </w:tcPr>
          <w:p w14:paraId="2EB691FA">
            <w:pPr>
              <w:pStyle w:val="129"/>
            </w:pPr>
            <w:r>
              <mc:AlternateContent>
                <mc:Choice Requires="wps">
                  <w:drawing>
                    <wp:anchor distT="0" distB="0" distL="114300" distR="114300" simplePos="0" relativeHeight="251662336" behindDoc="1" locked="0" layoutInCell="1" allowOverlap="1">
                      <wp:simplePos x="0" y="0"/>
                      <wp:positionH relativeFrom="column">
                        <wp:posOffset>-66675</wp:posOffset>
                      </wp:positionH>
                      <wp:positionV relativeFrom="paragraph">
                        <wp:posOffset>0</wp:posOffset>
                      </wp:positionV>
                      <wp:extent cx="866775" cy="198120"/>
                      <wp:effectExtent l="0" t="0" r="9525" b="11430"/>
                      <wp:wrapNone/>
                      <wp:docPr id="7" name="BAH"/>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a:effectLst/>
                            </wps:spPr>
                            <wps:txbx>
                              <w:txbxContent>
                                <w:p w14:paraId="218DC18E"/>
                              </w:txbxContent>
                            </wps:txbx>
                            <wps:bodyPr rot="0" vert="horz" wrap="square" lIns="91440" tIns="45720" rIns="91440" bIns="45720" anchor="t" anchorCtr="0" upright="1">
                              <a:noAutofit/>
                            </wps:bodyPr>
                          </wps:wsp>
                        </a:graphicData>
                      </a:graphic>
                    </wp:anchor>
                  </w:drawing>
                </mc:Choice>
                <mc:Fallback>
                  <w:pict>
                    <v:rect id="BAH" o:spid="_x0000_s1026" o:spt="1" style="position:absolute;left:0pt;margin-left:-5.25pt;margin-top:0pt;height:15.6pt;width:68.25pt;z-index:-251654144;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K4v7NUAAAAHAQAADwAAAAAA&#10;AAABACAAAAAiAAAAZHJzL2Rvd25yZXYueG1sUEsBAhQAFAAAAAgAh07iQK+sNNYWAgAAOQQAAA4A&#10;AAAAAAAAAQAgAAAAJAEAAGRycy9lMm9Eb2MueG1sUEsFBgAAAAAGAAYAWQEAAKwFAAAAAA==&#10;">
                      <v:fill on="t" focussize="0,0"/>
                      <v:stroke on="f"/>
                      <v:imagedata o:title=""/>
                      <o:lock v:ext="edit" aspectratio="f"/>
                      <v:textbox>
                        <w:txbxContent>
                          <w:p w14:paraId="218DC18E"/>
                        </w:txbxContent>
                      </v:textbox>
                    </v:rect>
                  </w:pict>
                </mc:Fallback>
              </mc:AlternateContent>
            </w:r>
            <w:r>
              <w:fldChar w:fldCharType="begin">
                <w:ffData>
                  <w:name w:val="BAH"/>
                  <w:enabled/>
                  <w:calcOnExit w:val="0"/>
                  <w:textInput/>
                </w:ffData>
              </w:fldChar>
            </w:r>
            <w:bookmarkStart w:id="3" w:name="BAH"/>
            <w:r>
              <w:instrText xml:space="preserve"> FORMTEXT </w:instrText>
            </w:r>
            <w:r>
              <w:fldChar w:fldCharType="separate"/>
            </w:r>
            <w:r>
              <w:t>     </w:t>
            </w:r>
            <w:r>
              <w:fldChar w:fldCharType="end"/>
            </w:r>
            <w:bookmarkEnd w:id="3"/>
          </w:p>
        </w:tc>
      </w:tr>
    </w:tbl>
    <w:p w14:paraId="7F221861">
      <w:pPr>
        <w:pStyle w:val="28"/>
        <w:ind w:firstLine="0" w:firstLineChars="0"/>
        <w:sectPr>
          <w:headerReference r:id="rId3" w:type="default"/>
          <w:pgSz w:w="11906" w:h="16838"/>
          <w:pgMar w:top="567" w:right="850" w:bottom="1134" w:left="1418" w:header="0" w:footer="0" w:gutter="0"/>
          <w:pgNumType w:start="1"/>
          <w:cols w:space="720" w:num="1"/>
          <w:docGrid w:type="lines" w:linePitch="312" w:charSpace="0"/>
        </w:sectPr>
      </w:pPr>
      <w: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2364105</wp:posOffset>
                </wp:positionV>
                <wp:extent cx="6120130" cy="0"/>
                <wp:effectExtent l="0" t="0" r="0" b="0"/>
                <wp:wrapNone/>
                <wp:docPr id="4" name="直线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直线 11" o:spid="_x0000_s1026" o:spt="20" style="position:absolute;left:0pt;margin-left:-0.55pt;margin-top:186.15pt;height:0pt;width:481.9pt;z-index:251659264;mso-width-relative:page;mso-height-relative:page;" filled="f" stroked="t" coordsize="21600,21600" o:gfxdata="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pAI9kNcAAAAKAQAADwAAAAAA&#10;AAABACAAAAAiAAAAZHJzL2Rvd25yZXYueG1sUEsBAhQAFAAAAAgAh07iQNiwS6/bAQAAsAMAAA4A&#10;AAAAAAAAAQAgAAAAJgEAAGRycy9lMm9Eb2MueG1sUEsFBgAAAAAGAAYAWQEAAHM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8890</wp:posOffset>
                </wp:positionH>
                <wp:positionV relativeFrom="paragraph">
                  <wp:posOffset>9193530</wp:posOffset>
                </wp:positionV>
                <wp:extent cx="6120130" cy="0"/>
                <wp:effectExtent l="0" t="0" r="0" b="0"/>
                <wp:wrapNone/>
                <wp:docPr id="3" name="直线 1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直线 15" o:spid="_x0000_s1026" o:spt="20" style="position:absolute;left:0pt;margin-left:0.7pt;margin-top:723.9pt;height:0pt;width:481.9pt;z-index:251660288;mso-width-relative:page;mso-height-relative:page;" filled="f" stroked="t" coordsize="21600,21600" o:gfxdata="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tjDrdYAAAALAQAADwAAAAAA&#10;AAABACAAAAAiAAAAZHJzL2Rvd25yZXYueG1sUEsBAhQAFAAAAAgAh07iQFj+8JvcAQAAsAMAAA4A&#10;AAAAAAAAAQAgAAAAJQEAAGRycy9lMm9Eb2MueG1sUEsFBgAAAAAGAAYAWQEAAHMFAAAAAA==&#10;">
                <v:fill on="f" focussize="0,0"/>
                <v:stroke color="#000000" joinstyle="round"/>
                <v:imagedata o:title=""/>
                <o:lock v:ext="edit" aspectratio="f"/>
              </v:line>
            </w:pict>
          </mc:Fallback>
        </mc:AlternateContent>
      </w:r>
    </w:p>
    <w:p w14:paraId="5A0E2AE3">
      <w:pPr>
        <w:pStyle w:val="24"/>
        <w:tabs>
          <w:tab w:val="right" w:leader="dot" w:pos="9354"/>
          <w:tab w:val="clear" w:pos="9241"/>
        </w:tabs>
        <w:spacing w:before="640" w:beforeLines="0" w:after="560" w:afterLines="0" w:line="460" w:lineRule="exact"/>
        <w:jc w:val="center"/>
        <w:rPr>
          <w:rFonts w:hint="eastAsia" w:ascii="黑体" w:hAnsi="黑体" w:eastAsia="黑体" w:cs="黑体"/>
          <w:sz w:val="32"/>
          <w:szCs w:val="32"/>
        </w:rPr>
      </w:pPr>
      <w:r>
        <w:rPr>
          <w:rFonts w:hint="eastAsia" w:ascii="黑体" w:hAnsi="黑体" w:eastAsia="黑体" w:cs="黑体"/>
          <w:sz w:val="32"/>
          <w:szCs w:val="32"/>
        </w:rPr>
        <w:t>目 次</w:t>
      </w:r>
    </w:p>
    <w:sdt>
      <w:sdtPr>
        <w:rPr>
          <w:rFonts w:ascii="宋体" w:hAnsi="宋体" w:eastAsia="宋体" w:cs="Times New Roman"/>
          <w:kern w:val="2"/>
          <w:sz w:val="21"/>
          <w:szCs w:val="24"/>
          <w:lang w:val="en-US" w:eastAsia="zh-CN" w:bidi="ar-SA"/>
        </w:rPr>
        <w:id w:val="147461095"/>
        <w15:color w:val="DBDBDB"/>
        <w:docPartObj>
          <w:docPartGallery w:val="Table of Contents"/>
          <w:docPartUnique/>
        </w:docPartObj>
      </w:sdtPr>
      <w:sdtEndPr>
        <w:rPr>
          <w:rFonts w:ascii="Times New Roman" w:hAnsi="Times New Roman" w:eastAsia="宋体" w:cs="Times New Roman"/>
          <w:kern w:val="2"/>
          <w:sz w:val="21"/>
          <w:szCs w:val="24"/>
          <w:lang w:val="en-US" w:eastAsia="zh-CN" w:bidi="ar-SA"/>
        </w:rPr>
      </w:sdtEndPr>
      <w:sdtContent>
        <w:p w14:paraId="5A231DF5">
          <w:pPr>
            <w:spacing w:before="0" w:beforeLines="0" w:after="0" w:afterLines="0" w:line="240" w:lineRule="auto"/>
            <w:ind w:left="0" w:leftChars="0" w:right="0" w:rightChars="0" w:firstLine="0" w:firstLineChars="0"/>
            <w:jc w:val="center"/>
          </w:pPr>
        </w:p>
        <w:p w14:paraId="0CFAD4A0">
          <w:pPr>
            <w:pStyle w:val="24"/>
            <w:tabs>
              <w:tab w:val="right" w:leader="dot" w:pos="9354"/>
              <w:tab w:val="clear" w:pos="9241"/>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TOC \o "1-2" \h \u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_Toc13956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32"/>
            </w:rPr>
            <w:t>前 言</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_Toc13956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I</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2132CCFA">
          <w:pPr>
            <w:pStyle w:val="24"/>
            <w:tabs>
              <w:tab w:val="right" w:leader="dot" w:pos="9354"/>
              <w:tab w:val="clear" w:pos="9241"/>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_Toc8938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21"/>
            </w:rPr>
            <w:t>1 范围</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_Toc8938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1543A4D4">
          <w:pPr>
            <w:pStyle w:val="24"/>
            <w:tabs>
              <w:tab w:val="right" w:leader="dot" w:pos="9354"/>
              <w:tab w:val="clear" w:pos="9241"/>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_Toc18329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21"/>
            </w:rPr>
            <w:t xml:space="preserve">2 </w:t>
          </w:r>
          <w:r>
            <w:rPr>
              <w:rFonts w:hint="eastAsia" w:asciiTheme="minorEastAsia" w:hAnsiTheme="minorEastAsia" w:eastAsiaTheme="minorEastAsia" w:cstheme="minorEastAsia"/>
              <w:szCs w:val="22"/>
            </w:rPr>
            <w:t>规范性引用文件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_Toc18329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0FB27212">
          <w:pPr>
            <w:pStyle w:val="24"/>
            <w:tabs>
              <w:tab w:val="right" w:leader="dot" w:pos="9354"/>
              <w:tab w:val="clear" w:pos="9241"/>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_Toc13150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21"/>
            </w:rPr>
            <w:t xml:space="preserve">3 </w:t>
          </w:r>
          <w:r>
            <w:rPr>
              <w:rFonts w:hint="eastAsia" w:asciiTheme="minorEastAsia" w:hAnsiTheme="minorEastAsia" w:eastAsiaTheme="minorEastAsia" w:cstheme="minorEastAsia"/>
              <w:szCs w:val="22"/>
            </w:rPr>
            <w:t>术语和定义</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_Toc13150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3AF5D860">
          <w:pPr>
            <w:pStyle w:val="24"/>
            <w:tabs>
              <w:tab w:val="right" w:leader="dot" w:pos="9354"/>
              <w:tab w:val="clear" w:pos="9241"/>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_Toc23622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21"/>
            </w:rPr>
            <w:t>4 评价原则</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_Toc23622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21F28D17">
          <w:pPr>
            <w:pStyle w:val="33"/>
            <w:tabs>
              <w:tab w:val="right" w:leader="dot" w:pos="9354"/>
              <w:tab w:val="clear" w:pos="9241"/>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_Toc28630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21"/>
            </w:rPr>
            <w:t xml:space="preserve">4.1 </w:t>
          </w:r>
          <w:r>
            <w:rPr>
              <w:rFonts w:hint="eastAsia" w:asciiTheme="minorEastAsia" w:hAnsiTheme="minorEastAsia" w:eastAsiaTheme="minorEastAsia" w:cstheme="minorEastAsia"/>
              <w:szCs w:val="21"/>
              <w:lang w:val="en-US" w:eastAsia="zh-CN"/>
            </w:rPr>
            <w:t>目的</w:t>
          </w:r>
          <w:r>
            <w:rPr>
              <w:rFonts w:hint="eastAsia" w:asciiTheme="minorEastAsia" w:hAnsiTheme="minorEastAsia" w:eastAsiaTheme="minorEastAsia" w:cstheme="minorEastAsia"/>
              <w:szCs w:val="21"/>
            </w:rPr>
            <w:t>性原则</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_Toc28630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0FC28689">
          <w:pPr>
            <w:pStyle w:val="33"/>
            <w:tabs>
              <w:tab w:val="right" w:leader="dot" w:pos="9354"/>
              <w:tab w:val="clear" w:pos="9241"/>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_Toc20862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21"/>
            </w:rPr>
            <w:t xml:space="preserve">4.2 </w:t>
          </w:r>
          <w:r>
            <w:rPr>
              <w:rFonts w:hint="eastAsia" w:asciiTheme="minorEastAsia" w:hAnsiTheme="minorEastAsia" w:eastAsiaTheme="minorEastAsia" w:cstheme="minorEastAsia"/>
              <w:szCs w:val="21"/>
              <w:lang w:val="en-US" w:eastAsia="zh-CN"/>
            </w:rPr>
            <w:t>合规</w:t>
          </w:r>
          <w:r>
            <w:rPr>
              <w:rFonts w:hint="eastAsia" w:asciiTheme="minorEastAsia" w:hAnsiTheme="minorEastAsia" w:eastAsiaTheme="minorEastAsia" w:cstheme="minorEastAsia"/>
              <w:szCs w:val="21"/>
            </w:rPr>
            <w:t>性原则</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_Toc20862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1ADA0CDB">
          <w:pPr>
            <w:pStyle w:val="33"/>
            <w:tabs>
              <w:tab w:val="right" w:leader="dot" w:pos="9354"/>
              <w:tab w:val="clear" w:pos="9241"/>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_Toc16879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21"/>
            </w:rPr>
            <w:t xml:space="preserve">4.3 </w:t>
          </w:r>
          <w:r>
            <w:rPr>
              <w:rFonts w:hint="eastAsia" w:asciiTheme="minorEastAsia" w:hAnsiTheme="minorEastAsia" w:eastAsiaTheme="minorEastAsia" w:cstheme="minorEastAsia"/>
              <w:szCs w:val="21"/>
              <w:lang w:val="en-US" w:eastAsia="zh-CN"/>
            </w:rPr>
            <w:t>客观</w:t>
          </w:r>
          <w:r>
            <w:rPr>
              <w:rFonts w:hint="eastAsia" w:asciiTheme="minorEastAsia" w:hAnsiTheme="minorEastAsia" w:eastAsiaTheme="minorEastAsia" w:cstheme="minorEastAsia"/>
              <w:szCs w:val="21"/>
            </w:rPr>
            <w:t>性原则</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_Toc16879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6D99F2E4">
          <w:pPr>
            <w:pStyle w:val="33"/>
            <w:tabs>
              <w:tab w:val="right" w:leader="dot" w:pos="9354"/>
              <w:tab w:val="clear" w:pos="9241"/>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_Toc12561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21"/>
            </w:rPr>
            <w:t>4.4 可操作性原则</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_Toc12561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550E0BAE">
          <w:pPr>
            <w:pStyle w:val="33"/>
            <w:tabs>
              <w:tab w:val="right" w:leader="dot" w:pos="9354"/>
              <w:tab w:val="clear" w:pos="9241"/>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_Toc24633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21"/>
            </w:rPr>
            <w:t>4.5 全面性原则</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_Toc24633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462894FB">
          <w:pPr>
            <w:pStyle w:val="24"/>
            <w:tabs>
              <w:tab w:val="right" w:leader="dot" w:pos="9354"/>
              <w:tab w:val="clear" w:pos="9241"/>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_Toc25421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21"/>
            </w:rPr>
            <w:t>5 评价依据</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_Toc25421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0E90E21C">
          <w:pPr>
            <w:pStyle w:val="24"/>
            <w:tabs>
              <w:tab w:val="right" w:leader="dot" w:pos="9354"/>
              <w:tab w:val="clear" w:pos="9241"/>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_Toc21979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21"/>
            </w:rPr>
            <w:t>6 评价指标体系和取值规则</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_Toc21979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40047809">
          <w:pPr>
            <w:pStyle w:val="33"/>
            <w:tabs>
              <w:tab w:val="right" w:leader="dot" w:pos="9354"/>
              <w:tab w:val="clear" w:pos="9241"/>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_Toc17027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21"/>
            </w:rPr>
            <w:t>6.1 评价指标体系</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_Toc17027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019B0B3E">
          <w:pPr>
            <w:pStyle w:val="33"/>
            <w:tabs>
              <w:tab w:val="right" w:leader="dot" w:pos="9354"/>
              <w:tab w:val="clear" w:pos="9241"/>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_Toc18564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21"/>
            </w:rPr>
            <w:t>6.2 取值规则</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_Toc18564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4</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0FDD84AD">
          <w:pPr>
            <w:pStyle w:val="24"/>
            <w:tabs>
              <w:tab w:val="right" w:leader="dot" w:pos="9354"/>
              <w:tab w:val="clear" w:pos="9241"/>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_Toc18367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21"/>
            </w:rPr>
            <w:t>7 评价方法</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_Toc18367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4</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6DB9481A">
          <w:pPr>
            <w:pStyle w:val="24"/>
            <w:tabs>
              <w:tab w:val="right" w:leader="dot" w:pos="9354"/>
              <w:tab w:val="clear" w:pos="9241"/>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_Toc30408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21"/>
            </w:rPr>
            <w:t>8 评价程序</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_Toc30408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03E9D11E">
          <w:pPr>
            <w:pStyle w:val="33"/>
            <w:tabs>
              <w:tab w:val="right" w:leader="dot" w:pos="9354"/>
              <w:tab w:val="clear" w:pos="9241"/>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_Toc563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21"/>
            </w:rPr>
            <w:t>8.1 申请要求</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_Toc563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32CA422C">
          <w:pPr>
            <w:pStyle w:val="33"/>
            <w:tabs>
              <w:tab w:val="right" w:leader="dot" w:pos="9354"/>
              <w:tab w:val="clear" w:pos="9241"/>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_Toc31305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21"/>
            </w:rPr>
            <w:t>8.2 评价准备</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_Toc31305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1FAF3DE9">
          <w:pPr>
            <w:pStyle w:val="33"/>
            <w:tabs>
              <w:tab w:val="right" w:leader="dot" w:pos="9354"/>
              <w:tab w:val="clear" w:pos="9241"/>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_Toc22322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21"/>
            </w:rPr>
            <w:t>8.3 评价实施</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_Toc22322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4B0B52FC">
          <w:pPr>
            <w:pStyle w:val="33"/>
            <w:tabs>
              <w:tab w:val="right" w:leader="dot" w:pos="9354"/>
              <w:tab w:val="clear" w:pos="9241"/>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_Toc29801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21"/>
            </w:rPr>
            <w:t>8.4 评价结论</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_Toc29801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6</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24EC4DA1">
          <w:pPr>
            <w:pStyle w:val="24"/>
            <w:tabs>
              <w:tab w:val="right" w:leader="dot" w:pos="9354"/>
              <w:tab w:val="clear" w:pos="9241"/>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_Toc13984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21"/>
            </w:rPr>
            <w:t>9 评价结果应用</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_Toc13984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7</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3C43FFC6">
          <w:pPr>
            <w:pStyle w:val="24"/>
            <w:tabs>
              <w:tab w:val="right" w:leader="dot" w:pos="9354"/>
              <w:tab w:val="clear" w:pos="9241"/>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_Toc16728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21"/>
            </w:rPr>
            <w:t>附录A</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规范性）产业园区物业服务质量评价表</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_Toc16728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8</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5D6B75BC">
          <w:pPr>
            <w:pStyle w:val="24"/>
            <w:tabs>
              <w:tab w:val="right" w:leader="dot" w:pos="9354"/>
              <w:tab w:val="clear" w:pos="9241"/>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_Toc4164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kern w:val="10"/>
              <w:lang w:eastAsia="zh-CN"/>
            </w:rPr>
            <w:t>参考文献</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_Toc4164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25</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77775AD0">
          <w:pPr>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cstheme="minorEastAsia"/>
            </w:rPr>
            <w:fldChar w:fldCharType="end"/>
          </w:r>
        </w:p>
      </w:sdtContent>
    </w:sdt>
    <w:p w14:paraId="6B5D85A9">
      <w:pPr>
        <w:rPr>
          <w:rFonts w:ascii="Times New Roman" w:hAnsi="Times New Roman" w:eastAsia="宋体" w:cs="Times New Roman"/>
          <w:kern w:val="2"/>
          <w:sz w:val="21"/>
          <w:szCs w:val="24"/>
          <w:lang w:val="en-US" w:eastAsia="zh-CN" w:bidi="ar-SA"/>
        </w:rPr>
      </w:pPr>
    </w:p>
    <w:p w14:paraId="3AC95046"/>
    <w:p w14:paraId="58195F53">
      <w:pPr>
        <w:sectPr>
          <w:headerReference r:id="rId4" w:type="default"/>
          <w:footerReference r:id="rId5" w:type="default"/>
          <w:pgSz w:w="11906" w:h="16838"/>
          <w:pgMar w:top="1418" w:right="1134" w:bottom="1134" w:left="1418" w:header="1134" w:footer="1134" w:gutter="0"/>
          <w:pgNumType w:fmt="upperRoman" w:start="1"/>
          <w:cols w:space="720" w:num="1"/>
          <w:formProt w:val="0"/>
          <w:docGrid w:type="lines" w:linePitch="312" w:charSpace="0"/>
        </w:sectPr>
      </w:pPr>
    </w:p>
    <w:p w14:paraId="606AE172">
      <w:pPr>
        <w:pStyle w:val="24"/>
        <w:tabs>
          <w:tab w:val="right" w:leader="dot" w:pos="9354"/>
          <w:tab w:val="clear" w:pos="9241"/>
        </w:tabs>
        <w:spacing w:beforeLines="0" w:after="560" w:afterLines="0" w:line="460" w:lineRule="exact"/>
        <w:jc w:val="both"/>
        <w:rPr>
          <w:rFonts w:hint="eastAsia" w:ascii="黑体" w:hAnsi="黑体" w:eastAsia="黑体" w:cs="黑体"/>
          <w:sz w:val="32"/>
          <w:szCs w:val="40"/>
        </w:rPr>
      </w:pPr>
    </w:p>
    <w:p w14:paraId="7F57BAA3">
      <w:pPr>
        <w:pStyle w:val="24"/>
        <w:tabs>
          <w:tab w:val="right" w:leader="dot" w:pos="9354"/>
          <w:tab w:val="clear" w:pos="9241"/>
        </w:tabs>
        <w:spacing w:beforeLines="0" w:after="560" w:afterLines="0" w:line="460" w:lineRule="exact"/>
        <w:jc w:val="center"/>
        <w:outlineLvl w:val="0"/>
        <w:rPr>
          <w:rFonts w:hint="eastAsia" w:ascii="黑体" w:hAnsi="黑体" w:eastAsia="黑体" w:cs="黑体"/>
          <w:sz w:val="32"/>
          <w:szCs w:val="32"/>
        </w:rPr>
      </w:pPr>
      <w:bookmarkStart w:id="4" w:name="_Toc13956"/>
      <w:bookmarkStart w:id="5" w:name="_Toc26358"/>
      <w:bookmarkStart w:id="6" w:name="_Toc16944"/>
      <w:bookmarkStart w:id="7" w:name="_Toc1123340372"/>
      <w:bookmarkStart w:id="8" w:name="_Toc269021238"/>
      <w:r>
        <w:rPr>
          <w:rFonts w:hint="eastAsia" w:ascii="黑体" w:hAnsi="黑体" w:eastAsia="黑体" w:cs="黑体"/>
          <w:sz w:val="32"/>
          <w:szCs w:val="32"/>
        </w:rPr>
        <w:t>前 言</w:t>
      </w:r>
      <w:bookmarkEnd w:id="4"/>
      <w:bookmarkEnd w:id="5"/>
      <w:bookmarkEnd w:id="6"/>
      <w:bookmarkEnd w:id="7"/>
      <w:bookmarkEnd w:id="8"/>
    </w:p>
    <w:p w14:paraId="639FF274">
      <w:pPr>
        <w:widowControl/>
        <w:autoSpaceDE w:val="0"/>
        <w:autoSpaceDN w:val="0"/>
        <w:ind w:firstLine="420" w:firstLineChars="200"/>
      </w:pPr>
      <w:r>
        <w:t>本文件依据GB/T 1.1—2020《标准化工作导则  第1部分：标准化文件的结构和起草规则》的规定起草。</w:t>
      </w:r>
    </w:p>
    <w:p w14:paraId="0A253412">
      <w:pPr>
        <w:widowControl/>
        <w:autoSpaceDE w:val="0"/>
        <w:autoSpaceDN w:val="0"/>
        <w:ind w:firstLine="420" w:firstLineChars="200"/>
      </w:pPr>
      <w:r>
        <w:t>请注意本文件的某些内容可能涉及专利。本文件的发布机构不承担识别专利的责任。</w:t>
      </w:r>
    </w:p>
    <w:p w14:paraId="504B478B">
      <w:pPr>
        <w:widowControl/>
        <w:autoSpaceDE w:val="0"/>
        <w:autoSpaceDN w:val="0"/>
        <w:ind w:firstLine="420" w:firstLineChars="200"/>
        <w:rPr>
          <w:szCs w:val="22"/>
        </w:rPr>
      </w:pPr>
      <w:r>
        <w:rPr>
          <w:szCs w:val="22"/>
        </w:rPr>
        <w:t>本文件由中国物业管理协会标准化建设专业委员会提出并归口。</w:t>
      </w:r>
    </w:p>
    <w:p w14:paraId="73047164">
      <w:pPr>
        <w:widowControl/>
        <w:autoSpaceDE w:val="0"/>
        <w:autoSpaceDN w:val="0"/>
        <w:ind w:firstLine="420" w:firstLineChars="200"/>
        <w:rPr>
          <w:szCs w:val="22"/>
        </w:rPr>
      </w:pPr>
      <w:r>
        <w:rPr>
          <w:szCs w:val="22"/>
        </w:rPr>
        <w:t>本文件起草单位：</w:t>
      </w:r>
    </w:p>
    <w:p w14:paraId="0C7EF7A0">
      <w:pPr>
        <w:widowControl/>
        <w:autoSpaceDE w:val="0"/>
        <w:autoSpaceDN w:val="0"/>
        <w:ind w:firstLine="420" w:firstLineChars="200"/>
        <w:rPr>
          <w:rFonts w:hint="eastAsia"/>
          <w:szCs w:val="22"/>
        </w:rPr>
      </w:pPr>
      <w:r>
        <w:rPr>
          <w:szCs w:val="22"/>
        </w:rPr>
        <w:t>本文件主要起草人：</w:t>
      </w:r>
      <w:bookmarkStart w:id="140" w:name="_GoBack"/>
      <w:bookmarkEnd w:id="140"/>
    </w:p>
    <w:p w14:paraId="7E39A649">
      <w:pPr>
        <w:pStyle w:val="228"/>
        <w:ind w:firstLine="420"/>
      </w:pPr>
      <w:r>
        <w:rPr>
          <w:rFonts w:hint="eastAsia"/>
        </w:rPr>
        <w:t>本文件主要审查人：</w:t>
      </w:r>
    </w:p>
    <w:p w14:paraId="7DEE76FC">
      <w:pPr>
        <w:pStyle w:val="28"/>
        <w:jc w:val="left"/>
        <w:sectPr>
          <w:headerReference r:id="rId6" w:type="default"/>
          <w:footerReference r:id="rId7" w:type="default"/>
          <w:pgSz w:w="11906" w:h="16838"/>
          <w:pgMar w:top="1418" w:right="1134" w:bottom="1134" w:left="1418" w:header="1134" w:footer="1134" w:gutter="0"/>
          <w:pgNumType w:fmt="upperRoman" w:start="1"/>
          <w:cols w:space="720" w:num="1"/>
          <w:formProt w:val="0"/>
          <w:docGrid w:type="lines" w:linePitch="312" w:charSpace="0"/>
        </w:sectPr>
      </w:pPr>
      <w:r>
        <w:rPr>
          <w:rFonts w:ascii="Times New Roman"/>
          <w:szCs w:val="22"/>
        </w:rPr>
        <w:t>本文件为首次发布</w:t>
      </w:r>
      <w:r>
        <w:rPr>
          <w:rFonts w:hint="eastAsia" w:ascii="Times New Roman"/>
          <w:szCs w:val="22"/>
        </w:rPr>
        <w:t>。</w:t>
      </w:r>
    </w:p>
    <w:p w14:paraId="405794C9">
      <w:pPr>
        <w:spacing w:after="240"/>
        <w:jc w:val="center"/>
        <w:rPr>
          <w:rFonts w:hint="eastAsia" w:ascii="黑体" w:hAnsi="黑体" w:eastAsia="黑体" w:cs="黑体"/>
          <w:sz w:val="32"/>
          <w:szCs w:val="32"/>
        </w:rPr>
      </w:pPr>
      <w:bookmarkStart w:id="9" w:name="_Toc1452891427"/>
      <w:bookmarkStart w:id="10" w:name="_Toc986870131"/>
      <w:bookmarkStart w:id="11" w:name="_Toc2110077272"/>
      <w:bookmarkStart w:id="12" w:name="_Toc16191"/>
      <w:r>
        <w:rPr>
          <w:rFonts w:hint="eastAsia" w:ascii="黑体" w:hAnsi="黑体" w:eastAsia="黑体" w:cs="黑体"/>
          <w:sz w:val="32"/>
          <w:szCs w:val="32"/>
        </w:rPr>
        <w:t>产业园区物业服务质量评价规范</w:t>
      </w:r>
      <w:bookmarkEnd w:id="9"/>
      <w:bookmarkEnd w:id="10"/>
      <w:bookmarkEnd w:id="11"/>
      <w:bookmarkEnd w:id="12"/>
    </w:p>
    <w:p w14:paraId="7AF3CAF1">
      <w:pPr>
        <w:pStyle w:val="72"/>
        <w:numPr>
          <w:ilvl w:val="0"/>
          <w:numId w:val="5"/>
        </w:numPr>
        <w:spacing w:before="240" w:after="240" w:line="360" w:lineRule="auto"/>
        <w:outlineLvl w:val="0"/>
        <w:rPr>
          <w:rFonts w:hint="eastAsia" w:ascii="宋体" w:hAnsi="宋体" w:cs="宋体"/>
          <w:color w:val="auto"/>
          <w:szCs w:val="21"/>
        </w:rPr>
      </w:pPr>
      <w:bookmarkStart w:id="13" w:name="_Toc13922"/>
      <w:bookmarkStart w:id="14" w:name="_Toc82019451"/>
      <w:r>
        <w:rPr>
          <w:rFonts w:hint="eastAsia" w:hAnsi="黑体" w:cs="黑体"/>
          <w:szCs w:val="21"/>
        </w:rPr>
        <w:t xml:space="preserve"> </w:t>
      </w:r>
      <w:r>
        <w:rPr>
          <w:rFonts w:hAnsi="黑体" w:cs="黑体"/>
          <w:szCs w:val="21"/>
        </w:rPr>
        <w:t xml:space="preserve"> </w:t>
      </w:r>
      <w:bookmarkStart w:id="15" w:name="_Toc26049"/>
      <w:bookmarkStart w:id="16" w:name="_Toc14430"/>
      <w:bookmarkStart w:id="17" w:name="_Toc8938"/>
      <w:bookmarkStart w:id="18" w:name="_Toc15925"/>
      <w:r>
        <w:rPr>
          <w:rFonts w:hint="eastAsia" w:hAnsi="黑体" w:cs="黑体"/>
          <w:szCs w:val="21"/>
        </w:rPr>
        <w:t>范围</w:t>
      </w:r>
      <w:bookmarkEnd w:id="13"/>
      <w:bookmarkEnd w:id="14"/>
      <w:bookmarkEnd w:id="15"/>
      <w:bookmarkEnd w:id="16"/>
      <w:bookmarkEnd w:id="17"/>
      <w:bookmarkEnd w:id="18"/>
    </w:p>
    <w:p w14:paraId="75BD7D47">
      <w:pPr>
        <w:widowControl/>
        <w:ind w:firstLine="420" w:firstLineChars="200"/>
        <w:jc w:val="left"/>
        <w:rPr>
          <w:rFonts w:hint="eastAsia" w:ascii="宋体" w:hAnsi="宋体" w:cs="宋体"/>
          <w:color w:val="auto"/>
          <w:kern w:val="0"/>
          <w:szCs w:val="21"/>
          <w:lang w:bidi="ar"/>
        </w:rPr>
      </w:pPr>
      <w:r>
        <w:rPr>
          <w:rFonts w:hint="eastAsia" w:ascii="宋体" w:hAnsi="宋体" w:cs="宋体"/>
          <w:color w:val="auto"/>
          <w:kern w:val="0"/>
          <w:szCs w:val="21"/>
          <w:lang w:bidi="ar"/>
        </w:rPr>
        <w:t>本文件规定了产业园区物业服务质量评价的评价原则、评价依据、评价指标体系和取值规则、评价方法、评价程序</w:t>
      </w:r>
      <w:r>
        <w:rPr>
          <w:rFonts w:hint="eastAsia" w:ascii="宋体" w:hAnsi="宋体" w:cs="宋体"/>
          <w:color w:val="auto"/>
          <w:kern w:val="0"/>
          <w:szCs w:val="21"/>
          <w:lang w:eastAsia="zh-CN" w:bidi="ar"/>
        </w:rPr>
        <w:t>、</w:t>
      </w:r>
      <w:r>
        <w:rPr>
          <w:rFonts w:hint="eastAsia" w:ascii="宋体" w:hAnsi="宋体" w:cs="宋体"/>
          <w:color w:val="auto"/>
          <w:kern w:val="0"/>
          <w:szCs w:val="21"/>
          <w:lang w:bidi="ar"/>
        </w:rPr>
        <w:t>评价结果应用。</w:t>
      </w:r>
    </w:p>
    <w:p w14:paraId="017C0535">
      <w:pPr>
        <w:widowControl/>
        <w:ind w:firstLine="420" w:firstLineChars="200"/>
        <w:jc w:val="left"/>
        <w:rPr>
          <w:rFonts w:hint="eastAsia" w:ascii="宋体" w:hAnsi="宋体" w:cs="宋体"/>
          <w:color w:val="auto"/>
          <w:kern w:val="0"/>
          <w:szCs w:val="21"/>
          <w:lang w:bidi="ar"/>
        </w:rPr>
      </w:pPr>
      <w:r>
        <w:rPr>
          <w:rFonts w:hint="eastAsia" w:ascii="宋体" w:hAnsi="宋体" w:cs="宋体"/>
          <w:color w:val="auto"/>
          <w:kern w:val="0"/>
          <w:szCs w:val="21"/>
          <w:lang w:bidi="ar"/>
        </w:rPr>
        <w:t>本文件适用于</w:t>
      </w:r>
      <w:r>
        <w:rPr>
          <w:rFonts w:hint="eastAsia" w:ascii="宋体" w:hAnsi="宋体" w:cs="宋体"/>
          <w:color w:val="auto"/>
          <w:kern w:val="0"/>
          <w:szCs w:val="21"/>
          <w:lang w:val="en-US" w:eastAsia="zh-CN" w:bidi="ar"/>
        </w:rPr>
        <w:t>产业园区</w:t>
      </w:r>
      <w:r>
        <w:rPr>
          <w:rFonts w:hint="eastAsia" w:ascii="宋体" w:hAnsi="宋体" w:cs="宋体"/>
          <w:color w:val="auto"/>
          <w:kern w:val="0"/>
          <w:szCs w:val="21"/>
          <w:lang w:bidi="ar"/>
        </w:rPr>
        <w:t>物业</w:t>
      </w:r>
      <w:r>
        <w:rPr>
          <w:rFonts w:hint="eastAsia" w:ascii="宋体" w:hAnsi="宋体" w:cs="宋体"/>
          <w:color w:val="auto"/>
          <w:kern w:val="0"/>
          <w:szCs w:val="21"/>
          <w:lang w:val="en-US" w:eastAsia="zh-CN" w:bidi="ar"/>
        </w:rPr>
        <w:t>服务质量的</w:t>
      </w:r>
      <w:r>
        <w:rPr>
          <w:rFonts w:hint="eastAsia" w:ascii="宋体" w:hAnsi="宋体" w:cs="宋体"/>
          <w:color w:val="auto"/>
          <w:kern w:val="0"/>
          <w:szCs w:val="21"/>
          <w:lang w:bidi="ar"/>
        </w:rPr>
        <w:t>评价</w:t>
      </w:r>
      <w:r>
        <w:rPr>
          <w:rFonts w:hint="eastAsia" w:ascii="宋体" w:hAnsi="宋体" w:cs="宋体"/>
          <w:color w:val="auto"/>
          <w:kern w:val="0"/>
          <w:szCs w:val="21"/>
          <w:lang w:val="en-US" w:eastAsia="zh-CN" w:bidi="ar"/>
        </w:rPr>
        <w:t>。</w:t>
      </w:r>
    </w:p>
    <w:p w14:paraId="0DE071D6">
      <w:pPr>
        <w:pStyle w:val="72"/>
        <w:numPr>
          <w:ilvl w:val="0"/>
          <w:numId w:val="5"/>
        </w:numPr>
        <w:spacing w:before="240" w:after="240" w:line="360" w:lineRule="auto"/>
        <w:outlineLvl w:val="0"/>
        <w:rPr>
          <w:rFonts w:hint="eastAsia" w:hAnsi="黑体" w:cs="黑体"/>
          <w:color w:val="000000"/>
          <w:szCs w:val="22"/>
        </w:rPr>
      </w:pPr>
      <w:bookmarkStart w:id="19" w:name="_Toc82019453"/>
      <w:bookmarkStart w:id="20" w:name="_Toc5255"/>
      <w:r>
        <w:rPr>
          <w:rFonts w:hint="eastAsia" w:hAnsi="黑体" w:cs="黑体"/>
          <w:color w:val="000000"/>
          <w:szCs w:val="22"/>
        </w:rPr>
        <w:t xml:space="preserve"> </w:t>
      </w:r>
      <w:r>
        <w:rPr>
          <w:rFonts w:hAnsi="黑体" w:cs="黑体"/>
          <w:color w:val="000000"/>
          <w:szCs w:val="22"/>
        </w:rPr>
        <w:t xml:space="preserve"> </w:t>
      </w:r>
      <w:bookmarkStart w:id="21" w:name="_Toc14867"/>
      <w:bookmarkStart w:id="22" w:name="_Toc352"/>
      <w:bookmarkStart w:id="23" w:name="_Toc18329"/>
      <w:bookmarkStart w:id="24" w:name="_Toc3879"/>
      <w:r>
        <w:rPr>
          <w:rFonts w:hint="eastAsia" w:hAnsi="黑体" w:cs="黑体"/>
          <w:color w:val="000000"/>
          <w:szCs w:val="22"/>
        </w:rPr>
        <w:t>规范性引用文件</w:t>
      </w:r>
      <w:bookmarkEnd w:id="21"/>
      <w:bookmarkEnd w:id="22"/>
      <w:bookmarkEnd w:id="23"/>
      <w:bookmarkEnd w:id="24"/>
    </w:p>
    <w:p w14:paraId="192CBBBD">
      <w:pPr>
        <w:widowControl/>
        <w:spacing w:line="240" w:lineRule="auto"/>
        <w:ind w:firstLine="420" w:firstLineChars="200"/>
        <w:jc w:val="left"/>
        <w:rPr>
          <w:rFonts w:hint="eastAsia" w:ascii="宋体" w:hAnsi="宋体" w:cs="宋体"/>
          <w:color w:val="auto"/>
          <w:kern w:val="0"/>
          <w:szCs w:val="21"/>
          <w:lang w:bidi="ar"/>
        </w:rPr>
      </w:pPr>
      <w:r>
        <w:rPr>
          <w:rFonts w:hint="eastAsia" w:ascii="宋体" w:hAnsi="宋体" w:cs="宋体"/>
          <w:color w:val="000000"/>
          <w:kern w:val="0"/>
          <w:szCs w:val="21"/>
          <w:lang w:bidi="ar"/>
        </w:rPr>
        <w:t>下列文件中的内容通过文中的规范性引用而构成本文件必不可少的条款。其中，注日期的引用文</w:t>
      </w:r>
      <w:r>
        <w:rPr>
          <w:rFonts w:hint="eastAsia" w:ascii="宋体" w:hAnsi="宋体" w:cs="宋体"/>
          <w:color w:val="auto"/>
          <w:kern w:val="0"/>
          <w:szCs w:val="21"/>
          <w:lang w:bidi="ar"/>
        </w:rPr>
        <w:t xml:space="preserve">件，仅该日期对应的版本适用于本文件；不注日期的引用文件，其最新版本（包括所有的修改单）适用于本文件。 </w:t>
      </w:r>
    </w:p>
    <w:p w14:paraId="039BA8E9">
      <w:pPr>
        <w:ind w:right="560"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GB 2894 安全标志及其使用导则</w:t>
      </w:r>
    </w:p>
    <w:p w14:paraId="4AE4AAFF">
      <w:pPr>
        <w:ind w:right="560"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GB 15630 消防安全标志设置要求</w:t>
      </w:r>
    </w:p>
    <w:p w14:paraId="1A653ABE">
      <w:pPr>
        <w:ind w:right="560"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GB/T 16273 设备用图形符号</w:t>
      </w:r>
    </w:p>
    <w:p w14:paraId="37CF9BBF">
      <w:pPr>
        <w:ind w:right="560"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GB 17051 二次供水设施卫生规范</w:t>
      </w:r>
    </w:p>
    <w:p w14:paraId="54788C35">
      <w:pPr>
        <w:ind w:right="560"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GB/T 19000 质量管理体系 基础和术语</w:t>
      </w:r>
    </w:p>
    <w:p w14:paraId="47A2FB2A">
      <w:pPr>
        <w:ind w:right="560"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GB/T 19095 生活垃圾分类标志</w:t>
      </w:r>
    </w:p>
    <w:p w14:paraId="78F79B34">
      <w:pPr>
        <w:ind w:right="560"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GB 25201 建筑消防设施的维护管理</w:t>
      </w:r>
    </w:p>
    <w:p w14:paraId="726A20DB">
      <w:pPr>
        <w:ind w:right="560"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GB/T 29639 生产经营单位生产安全事故应急预案编制导则</w:t>
      </w:r>
    </w:p>
    <w:p w14:paraId="5B988704">
      <w:pPr>
        <w:ind w:right="560"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GB/T 36733 服务质量评价通则</w:t>
      </w:r>
    </w:p>
    <w:p w14:paraId="178AACB7">
      <w:pPr>
        <w:ind w:right="560"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GB/T 45698 物业服务客户满意度测评</w:t>
      </w:r>
    </w:p>
    <w:p w14:paraId="1AFC8B1C">
      <w:pPr>
        <w:ind w:right="560"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GB/T 45700 物业管理术语</w:t>
      </w:r>
    </w:p>
    <w:p w14:paraId="4C35CBEE">
      <w:pPr>
        <w:ind w:right="560"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GB 50365 空调通风系统运行管理标准</w:t>
      </w:r>
    </w:p>
    <w:p w14:paraId="0E4D8E91">
      <w:pPr>
        <w:ind w:right="560"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CJJ/T 287 园林绿化养护标准</w:t>
      </w:r>
    </w:p>
    <w:p w14:paraId="0D1B6DAB">
      <w:pPr>
        <w:ind w:right="560"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TSG 08 特种设备使用管理规则</w:t>
      </w:r>
    </w:p>
    <w:p w14:paraId="490712E2">
      <w:pPr>
        <w:ind w:right="560"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TSG T5002 电梯维护保养规则</w:t>
      </w:r>
    </w:p>
    <w:p w14:paraId="017F2DB4">
      <w:pPr>
        <w:ind w:right="560"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T/CPMI 017 产业园区物业服务规范</w:t>
      </w:r>
    </w:p>
    <w:p w14:paraId="379E65F4">
      <w:pPr>
        <w:pStyle w:val="72"/>
        <w:numPr>
          <w:ilvl w:val="0"/>
          <w:numId w:val="5"/>
        </w:numPr>
        <w:spacing w:before="240" w:after="240" w:line="360" w:lineRule="auto"/>
        <w:outlineLvl w:val="0"/>
        <w:rPr>
          <w:rFonts w:hint="eastAsia" w:hAnsi="黑体" w:cs="黑体"/>
          <w:color w:val="auto"/>
          <w:szCs w:val="22"/>
        </w:rPr>
      </w:pPr>
      <w:r>
        <w:rPr>
          <w:rFonts w:hint="eastAsia" w:hAnsi="黑体" w:cs="黑体"/>
          <w:color w:val="auto"/>
          <w:szCs w:val="22"/>
        </w:rPr>
        <w:t xml:space="preserve">  </w:t>
      </w:r>
      <w:bookmarkStart w:id="25" w:name="_Toc13150"/>
      <w:bookmarkStart w:id="26" w:name="_Toc18422"/>
      <w:bookmarkStart w:id="27" w:name="_Toc29294"/>
      <w:bookmarkStart w:id="28" w:name="_Toc25470"/>
      <w:r>
        <w:rPr>
          <w:rFonts w:hint="eastAsia" w:hAnsi="黑体" w:cs="黑体"/>
          <w:color w:val="auto"/>
          <w:szCs w:val="22"/>
        </w:rPr>
        <w:t>术语和定义</w:t>
      </w:r>
      <w:bookmarkEnd w:id="19"/>
      <w:bookmarkEnd w:id="20"/>
      <w:bookmarkEnd w:id="25"/>
      <w:bookmarkEnd w:id="26"/>
      <w:bookmarkEnd w:id="27"/>
      <w:bookmarkEnd w:id="28"/>
    </w:p>
    <w:sdt>
      <w:sdtPr>
        <w:id w:val="-1"/>
        <w:placeholder>
          <w:docPart w:val="{d5712ab5-033d-4501-8e2e-cc1e45f0b0d9}"/>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2BA0AEB">
          <w:pPr>
            <w:ind w:right="560" w:firstLine="420" w:firstLineChars="200"/>
          </w:pPr>
          <w:r>
            <w:rPr>
              <w:rFonts w:hint="eastAsia"/>
              <w:lang w:val="en-US" w:eastAsia="zh-CN"/>
            </w:rPr>
            <w:t>GB/T 45700</w:t>
          </w:r>
          <w:r>
            <w:t>界定的以及下列术语和定义适用于本文件。</w:t>
          </w:r>
        </w:p>
      </w:sdtContent>
    </w:sdt>
    <w:p w14:paraId="4641CBF0">
      <w:pPr>
        <w:numPr>
          <w:ilvl w:val="1"/>
          <w:numId w:val="5"/>
        </w:numPr>
        <w:rPr>
          <w:rFonts w:hint="eastAsia" w:ascii="宋体" w:hAnsi="宋体" w:cs="宋体"/>
          <w:color w:val="auto"/>
          <w:szCs w:val="21"/>
        </w:rPr>
      </w:pPr>
      <w:bookmarkStart w:id="29" w:name="_Toc82019454"/>
    </w:p>
    <w:bookmarkEnd w:id="29"/>
    <w:p w14:paraId="6F4EE613">
      <w:pPr>
        <w:ind w:right="560" w:firstLine="420" w:firstLineChars="200"/>
        <w:rPr>
          <w:rFonts w:hint="eastAsia" w:ascii="黑体" w:hAnsi="Calibri" w:eastAsia="黑体"/>
          <w:color w:val="auto"/>
          <w:szCs w:val="21"/>
          <w:lang w:val="en-US" w:eastAsia="zh-CN"/>
        </w:rPr>
      </w:pPr>
      <w:r>
        <w:rPr>
          <w:rFonts w:hint="eastAsia" w:ascii="黑体" w:hAnsi="Calibri" w:eastAsia="黑体"/>
          <w:color w:val="auto"/>
          <w:szCs w:val="21"/>
          <w:lang w:val="en-US" w:eastAsia="zh-CN"/>
        </w:rPr>
        <w:t>首次会议 Opening Meeting</w:t>
      </w:r>
    </w:p>
    <w:p w14:paraId="34B8084F">
      <w:pPr>
        <w:ind w:firstLine="420" w:firstLineChars="200"/>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指评价组在正式实施现场评价前与被评价方共同召开的会议，旨在明确评价安排、确认支持条件并沟通关键信息。</w:t>
      </w:r>
    </w:p>
    <w:p w14:paraId="599A318E">
      <w:pPr>
        <w:ind w:firstLine="360" w:firstLineChars="200"/>
        <w:rPr>
          <w:rFonts w:hint="default"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注：首次会议是产业园区物业服务质量评价启动阶段的关键程序。</w:t>
      </w:r>
    </w:p>
    <w:p w14:paraId="7AA71EAB">
      <w:pPr>
        <w:numPr>
          <w:ilvl w:val="1"/>
          <w:numId w:val="5"/>
        </w:numPr>
        <w:rPr>
          <w:rFonts w:hint="eastAsia" w:ascii="黑体" w:hAnsi="黑体" w:eastAsia="黑体" w:cs="黑体"/>
          <w:color w:val="auto"/>
          <w:szCs w:val="21"/>
        </w:rPr>
      </w:pPr>
      <w:bookmarkStart w:id="30" w:name="_Toc82019469"/>
      <w:bookmarkStart w:id="31" w:name="_Toc6805"/>
    </w:p>
    <w:p w14:paraId="17E51983">
      <w:pPr>
        <w:numPr>
          <w:ilvl w:val="0"/>
          <w:numId w:val="0"/>
        </w:numPr>
        <w:ind w:leftChars="0" w:firstLine="420" w:firstLineChars="200"/>
        <w:rPr>
          <w:rFonts w:hint="eastAsia" w:ascii="黑体" w:hAnsi="黑体" w:eastAsia="黑体" w:cs="黑体"/>
          <w:color w:val="auto"/>
          <w:szCs w:val="21"/>
          <w:lang w:val="en-US" w:eastAsia="zh-CN"/>
        </w:rPr>
      </w:pPr>
      <w:r>
        <w:rPr>
          <w:rFonts w:hint="eastAsia" w:ascii="黑体" w:hAnsi="黑体" w:eastAsia="黑体" w:cs="黑体"/>
          <w:color w:val="auto"/>
          <w:szCs w:val="21"/>
          <w:lang w:val="en-US" w:eastAsia="zh-CN"/>
        </w:rPr>
        <w:t>末次会议 Closing Meeting</w:t>
      </w:r>
    </w:p>
    <w:p w14:paraId="65126902">
      <w:pPr>
        <w:ind w:firstLine="420" w:firstLineChars="200"/>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指评价组在完成全部现场评价工作后与被评价方召开的会议，旨在通报评价结果并沟通后续改进要求。</w:t>
      </w:r>
    </w:p>
    <w:p w14:paraId="352706E8">
      <w:pPr>
        <w:ind w:firstLine="360" w:firstLineChars="200"/>
        <w:rPr>
          <w:rFonts w:hint="default"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注：末次会议是产业园区物业服务质量评价结束阶段的正式程序。</w:t>
      </w:r>
    </w:p>
    <w:p w14:paraId="5959FFC6">
      <w:pPr>
        <w:pStyle w:val="72"/>
        <w:numPr>
          <w:ilvl w:val="0"/>
          <w:numId w:val="5"/>
        </w:numPr>
        <w:spacing w:before="240" w:after="240"/>
        <w:outlineLvl w:val="0"/>
        <w:rPr>
          <w:rFonts w:hint="eastAsia" w:hAnsi="黑体" w:cs="黑体"/>
          <w:color w:val="auto"/>
          <w:szCs w:val="21"/>
        </w:rPr>
      </w:pPr>
      <w:r>
        <w:rPr>
          <w:rFonts w:hint="eastAsia" w:hAnsi="黑体" w:cs="黑体"/>
          <w:color w:val="auto"/>
          <w:szCs w:val="21"/>
        </w:rPr>
        <w:t xml:space="preserve"> </w:t>
      </w:r>
      <w:r>
        <w:rPr>
          <w:rFonts w:hAnsi="黑体" w:cs="黑体"/>
          <w:color w:val="auto"/>
          <w:szCs w:val="21"/>
        </w:rPr>
        <w:t xml:space="preserve"> </w:t>
      </w:r>
      <w:bookmarkEnd w:id="30"/>
      <w:bookmarkEnd w:id="31"/>
      <w:bookmarkStart w:id="32" w:name="_Toc3252"/>
      <w:bookmarkStart w:id="33" w:name="_Toc30641"/>
      <w:bookmarkStart w:id="34" w:name="_Toc1633"/>
      <w:bookmarkStart w:id="35" w:name="_Toc23622"/>
      <w:r>
        <w:rPr>
          <w:rFonts w:hint="eastAsia" w:hAnsi="黑体" w:cs="黑体"/>
          <w:color w:val="auto"/>
          <w:szCs w:val="21"/>
        </w:rPr>
        <w:t>评价原则</w:t>
      </w:r>
      <w:bookmarkEnd w:id="32"/>
      <w:bookmarkEnd w:id="33"/>
      <w:bookmarkEnd w:id="34"/>
      <w:bookmarkEnd w:id="35"/>
    </w:p>
    <w:p w14:paraId="4F35C10D">
      <w:pPr>
        <w:numPr>
          <w:ilvl w:val="1"/>
          <w:numId w:val="5"/>
        </w:numPr>
        <w:spacing w:before="120" w:beforeLines="50" w:after="120" w:afterLines="50"/>
        <w:outlineLvl w:val="1"/>
        <w:rPr>
          <w:rFonts w:ascii="黑体" w:hAnsi="黑体" w:eastAsia="黑体" w:cs="黑体"/>
          <w:color w:val="auto"/>
          <w:szCs w:val="21"/>
        </w:rPr>
      </w:pPr>
      <w:bookmarkStart w:id="36" w:name="_Toc19719104"/>
      <w:bookmarkStart w:id="37" w:name="_Toc19629502"/>
      <w:bookmarkStart w:id="38" w:name="_Toc60661644"/>
      <w:bookmarkStart w:id="39" w:name="_Toc18592899"/>
      <w:bookmarkStart w:id="40" w:name="_Toc4489060"/>
      <w:bookmarkStart w:id="41" w:name="_Toc18595289"/>
      <w:bookmarkStart w:id="42" w:name="_Toc19893920"/>
      <w:bookmarkStart w:id="43" w:name="_Toc536085483"/>
      <w:r>
        <w:rPr>
          <w:rFonts w:hint="eastAsia" w:ascii="黑体" w:hAnsi="黑体" w:eastAsia="黑体" w:cs="黑体"/>
          <w:color w:val="auto"/>
          <w:szCs w:val="21"/>
        </w:rPr>
        <w:t xml:space="preserve">  </w:t>
      </w:r>
      <w:bookmarkStart w:id="44" w:name="_Toc28630"/>
      <w:r>
        <w:rPr>
          <w:rFonts w:hint="eastAsia" w:ascii="黑体" w:hAnsi="黑体" w:eastAsia="黑体" w:cs="黑体"/>
          <w:color w:val="auto"/>
          <w:szCs w:val="21"/>
          <w:lang w:val="en-US" w:eastAsia="zh-CN"/>
        </w:rPr>
        <w:t>目的</w:t>
      </w:r>
      <w:r>
        <w:rPr>
          <w:rFonts w:hint="eastAsia" w:ascii="黑体" w:hAnsi="黑体" w:eastAsia="黑体" w:cs="黑体"/>
          <w:color w:val="auto"/>
          <w:szCs w:val="21"/>
        </w:rPr>
        <w:t>性原则</w:t>
      </w:r>
      <w:bookmarkEnd w:id="44"/>
    </w:p>
    <w:p w14:paraId="4C8A0A7B">
      <w:pPr>
        <w:ind w:firstLine="420" w:firstLineChars="200"/>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评价应围绕提升园区运营效能、满足入驻企业需求等核心目标展开，确保评价结果能有效指导服务优化和资源分配。</w:t>
      </w:r>
    </w:p>
    <w:p w14:paraId="2604DCF3">
      <w:pPr>
        <w:numPr>
          <w:ilvl w:val="1"/>
          <w:numId w:val="5"/>
        </w:numPr>
        <w:spacing w:before="120" w:beforeLines="50" w:after="120" w:afterLines="50"/>
        <w:outlineLvl w:val="1"/>
        <w:rPr>
          <w:rFonts w:hint="eastAsia" w:ascii="黑体" w:hAnsi="黑体" w:eastAsia="黑体" w:cs="黑体"/>
          <w:szCs w:val="21"/>
        </w:rPr>
      </w:pPr>
      <w:r>
        <w:rPr>
          <w:rFonts w:hint="eastAsia" w:ascii="黑体" w:hAnsi="黑体" w:eastAsia="黑体" w:cs="黑体"/>
          <w:szCs w:val="21"/>
        </w:rPr>
        <w:t xml:space="preserve">  </w:t>
      </w:r>
      <w:bookmarkStart w:id="45" w:name="_Toc20862"/>
      <w:r>
        <w:rPr>
          <w:rFonts w:hint="eastAsia" w:ascii="黑体" w:hAnsi="黑体" w:eastAsia="黑体" w:cs="黑体"/>
          <w:szCs w:val="21"/>
          <w:lang w:val="en-US" w:eastAsia="zh-CN"/>
        </w:rPr>
        <w:t>合规</w:t>
      </w:r>
      <w:r>
        <w:rPr>
          <w:rFonts w:hint="eastAsia" w:ascii="黑体" w:hAnsi="黑体" w:eastAsia="黑体" w:cs="黑体"/>
          <w:szCs w:val="21"/>
        </w:rPr>
        <w:t>性原则</w:t>
      </w:r>
      <w:bookmarkEnd w:id="45"/>
    </w:p>
    <w:p w14:paraId="79F119B4">
      <w:pPr>
        <w:ind w:firstLine="420" w:firstLineChars="200"/>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评价应严格依据国家及地方相关法律法规、合同约定等强制性要求进行。</w:t>
      </w:r>
    </w:p>
    <w:p w14:paraId="48A23385">
      <w:pPr>
        <w:numPr>
          <w:ilvl w:val="1"/>
          <w:numId w:val="5"/>
        </w:numPr>
        <w:spacing w:before="120" w:beforeLines="50" w:after="120" w:afterLines="50"/>
        <w:outlineLvl w:val="1"/>
        <w:rPr>
          <w:rFonts w:hint="eastAsia" w:ascii="黑体" w:hAnsi="黑体" w:eastAsia="黑体" w:cs="黑体"/>
          <w:szCs w:val="21"/>
        </w:rPr>
      </w:pPr>
      <w:r>
        <w:rPr>
          <w:rFonts w:hint="eastAsia" w:ascii="黑体" w:hAnsi="黑体" w:eastAsia="黑体" w:cs="黑体"/>
          <w:szCs w:val="21"/>
        </w:rPr>
        <w:t xml:space="preserve">  </w:t>
      </w:r>
      <w:bookmarkStart w:id="46" w:name="_Toc16879"/>
      <w:r>
        <w:rPr>
          <w:rFonts w:hint="eastAsia" w:ascii="黑体" w:hAnsi="黑体" w:eastAsia="黑体" w:cs="黑体"/>
          <w:szCs w:val="21"/>
          <w:lang w:val="en-US" w:eastAsia="zh-CN"/>
        </w:rPr>
        <w:t>客观</w:t>
      </w:r>
      <w:r>
        <w:rPr>
          <w:rFonts w:hint="eastAsia" w:ascii="黑体" w:hAnsi="黑体" w:eastAsia="黑体" w:cs="黑体"/>
          <w:szCs w:val="21"/>
        </w:rPr>
        <w:t>性原则</w:t>
      </w:r>
      <w:bookmarkEnd w:id="46"/>
    </w:p>
    <w:p w14:paraId="0AD9ED01">
      <w:pPr>
        <w:ind w:firstLine="420" w:firstLineChars="200"/>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评价应基于可量化、可验证的指标和统一标准，避免主观偏好，真实反映服务实际表现。</w:t>
      </w:r>
    </w:p>
    <w:p w14:paraId="28FCB78E">
      <w:pPr>
        <w:numPr>
          <w:ilvl w:val="1"/>
          <w:numId w:val="5"/>
        </w:numPr>
        <w:spacing w:before="120" w:beforeLines="50" w:after="120" w:afterLines="50"/>
        <w:outlineLvl w:val="1"/>
        <w:rPr>
          <w:rFonts w:hint="eastAsia" w:ascii="黑体" w:hAnsi="黑体" w:eastAsia="黑体" w:cs="黑体"/>
          <w:color w:val="auto"/>
          <w:szCs w:val="21"/>
        </w:rPr>
      </w:pPr>
      <w:r>
        <w:rPr>
          <w:rFonts w:hint="eastAsia" w:ascii="黑体" w:hAnsi="黑体" w:eastAsia="黑体" w:cs="黑体"/>
          <w:szCs w:val="21"/>
        </w:rPr>
        <w:t xml:space="preserve">  </w:t>
      </w:r>
      <w:bookmarkStart w:id="47" w:name="_Toc12561"/>
      <w:bookmarkStart w:id="48" w:name="_Toc1216585090"/>
      <w:r>
        <w:rPr>
          <w:rFonts w:hint="eastAsia" w:ascii="黑体" w:hAnsi="黑体" w:eastAsia="黑体" w:cs="黑体"/>
          <w:szCs w:val="21"/>
        </w:rPr>
        <w:t>可操作性原</w:t>
      </w:r>
      <w:r>
        <w:rPr>
          <w:rFonts w:hint="eastAsia" w:ascii="黑体" w:hAnsi="黑体" w:eastAsia="黑体" w:cs="黑体"/>
          <w:color w:val="auto"/>
          <w:szCs w:val="21"/>
        </w:rPr>
        <w:t>则</w:t>
      </w:r>
      <w:bookmarkEnd w:id="47"/>
    </w:p>
    <w:p w14:paraId="00559C10">
      <w:pPr>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评价指标和方法</w:t>
      </w:r>
      <w:r>
        <w:rPr>
          <w:rFonts w:hint="eastAsia" w:ascii="宋体" w:hAnsi="宋体" w:cs="宋体"/>
          <w:color w:val="auto"/>
          <w:szCs w:val="21"/>
          <w:lang w:val="en-US" w:eastAsia="zh-CN"/>
        </w:rPr>
        <w:t>应</w:t>
      </w:r>
      <w:r>
        <w:rPr>
          <w:rFonts w:hint="eastAsia" w:ascii="宋体" w:hAnsi="宋体" w:eastAsia="宋体" w:cs="宋体"/>
          <w:color w:val="auto"/>
          <w:szCs w:val="21"/>
          <w:lang w:val="en-US" w:eastAsia="zh-CN"/>
        </w:rPr>
        <w:t>具体、清晰、易于理解和实施，确保在实际评价过程中能够有效采集数据、执行评估。</w:t>
      </w:r>
    </w:p>
    <w:p w14:paraId="19183572">
      <w:pPr>
        <w:numPr>
          <w:ilvl w:val="1"/>
          <w:numId w:val="5"/>
        </w:numPr>
        <w:spacing w:before="120" w:beforeLines="50" w:after="120" w:afterLines="50"/>
        <w:outlineLvl w:val="1"/>
        <w:rPr>
          <w:rFonts w:hint="eastAsia" w:ascii="黑体" w:hAnsi="黑体" w:eastAsia="黑体" w:cs="黑体"/>
          <w:color w:val="auto"/>
          <w:szCs w:val="21"/>
        </w:rPr>
      </w:pPr>
      <w:bookmarkStart w:id="49" w:name="_Toc1216409142"/>
      <w:bookmarkStart w:id="50" w:name="_Toc1255273095"/>
      <w:r>
        <w:rPr>
          <w:rFonts w:hint="eastAsia" w:ascii="黑体" w:hAnsi="黑体" w:eastAsia="黑体" w:cs="黑体"/>
          <w:color w:val="auto"/>
          <w:szCs w:val="21"/>
        </w:rPr>
        <w:t xml:space="preserve">  </w:t>
      </w:r>
      <w:bookmarkEnd w:id="48"/>
      <w:bookmarkEnd w:id="49"/>
      <w:bookmarkEnd w:id="50"/>
      <w:bookmarkStart w:id="51" w:name="_Toc24633"/>
      <w:bookmarkStart w:id="52" w:name="_Toc18807"/>
      <w:bookmarkStart w:id="53" w:name="_Toc3462"/>
      <w:r>
        <w:rPr>
          <w:rFonts w:hint="eastAsia" w:ascii="黑体" w:hAnsi="黑体" w:eastAsia="黑体" w:cs="黑体"/>
          <w:color w:val="auto"/>
          <w:szCs w:val="21"/>
        </w:rPr>
        <w:t>全面性原则</w:t>
      </w:r>
      <w:bookmarkEnd w:id="51"/>
    </w:p>
    <w:p w14:paraId="2FC816CF">
      <w:pPr>
        <w:ind w:firstLine="420" w:firstLineChars="200"/>
        <w:rPr>
          <w:rFonts w:hint="eastAsia" w:ascii="黑体" w:hAnsi="黑体" w:eastAsia="黑体" w:cs="黑体"/>
          <w:color w:val="auto"/>
          <w:szCs w:val="21"/>
        </w:rPr>
      </w:pPr>
      <w:r>
        <w:rPr>
          <w:rFonts w:hint="eastAsia" w:ascii="宋体" w:hAnsi="宋体" w:eastAsia="宋体" w:cs="宋体"/>
          <w:color w:val="auto"/>
          <w:szCs w:val="21"/>
          <w:lang w:val="en-US" w:eastAsia="zh-CN"/>
        </w:rPr>
        <w:t>评价体系应覆盖</w:t>
      </w:r>
      <w:r>
        <w:rPr>
          <w:rFonts w:hint="eastAsia" w:ascii="宋体" w:hAnsi="宋体" w:cs="宋体"/>
          <w:color w:val="auto"/>
          <w:szCs w:val="21"/>
          <w:lang w:val="en-US" w:eastAsia="zh-CN"/>
        </w:rPr>
        <w:t>产业园区</w:t>
      </w:r>
      <w:r>
        <w:rPr>
          <w:rFonts w:hint="eastAsia" w:ascii="宋体" w:hAnsi="宋体" w:eastAsia="宋体" w:cs="宋体"/>
          <w:color w:val="auto"/>
          <w:szCs w:val="21"/>
          <w:lang w:val="en-US" w:eastAsia="zh-CN"/>
        </w:rPr>
        <w:t>物业服务的关键维度和核心内容，尽可能反映服务质量的整体面貌和主要影响因素，避免重大遗漏。</w:t>
      </w:r>
      <w:r>
        <w:rPr>
          <w:rFonts w:hint="eastAsia" w:ascii="Segoe UI" w:hAnsi="Segoe UI" w:eastAsia="Segoe UI" w:cs="Segoe UI"/>
          <w:color w:val="auto"/>
          <w:sz w:val="18"/>
          <w:szCs w:val="18"/>
          <w:shd w:val="clear" w:color="auto" w:fill="F7F7F7"/>
        </w:rPr>
        <w:fldChar w:fldCharType="begin"/>
      </w:r>
      <w:r>
        <w:rPr>
          <w:rFonts w:ascii="Segoe UI" w:hAnsi="Segoe UI" w:eastAsia="Segoe UI" w:cs="Segoe UI"/>
          <w:color w:val="auto"/>
          <w:sz w:val="18"/>
          <w:szCs w:val="18"/>
          <w:shd w:val="clear" w:color="auto" w:fill="F7F7F7"/>
        </w:rPr>
        <w:instrText xml:space="preserve"> HYPERLINK \l "_Toc18807" </w:instrText>
      </w:r>
      <w:r>
        <w:rPr>
          <w:rFonts w:hint="eastAsia" w:ascii="Segoe UI" w:hAnsi="Segoe UI" w:eastAsia="Segoe UI" w:cs="Segoe UI"/>
          <w:color w:val="auto"/>
          <w:sz w:val="18"/>
          <w:szCs w:val="18"/>
          <w:shd w:val="clear" w:color="auto" w:fill="F7F7F7"/>
        </w:rPr>
        <w:fldChar w:fldCharType="separate"/>
      </w:r>
    </w:p>
    <w:p w14:paraId="2A1FD10D">
      <w:pPr>
        <w:pStyle w:val="72"/>
        <w:numPr>
          <w:ilvl w:val="0"/>
          <w:numId w:val="5"/>
        </w:numPr>
        <w:spacing w:before="240" w:after="240"/>
        <w:outlineLvl w:val="0"/>
        <w:rPr>
          <w:rFonts w:hint="eastAsia" w:hAnsi="黑体" w:cs="黑体"/>
          <w:color w:val="auto"/>
          <w:szCs w:val="21"/>
        </w:rPr>
      </w:pPr>
      <w:r>
        <w:rPr>
          <w:rFonts w:hint="eastAsia" w:hAnsi="黑体" w:cs="黑体"/>
          <w:color w:val="auto"/>
          <w:szCs w:val="21"/>
        </w:rPr>
        <w:t xml:space="preserve">  </w:t>
      </w:r>
      <w:bookmarkStart w:id="54" w:name="_Toc11983"/>
      <w:bookmarkStart w:id="55" w:name="_Toc15608"/>
      <w:bookmarkStart w:id="56" w:name="_Toc25421"/>
      <w:r>
        <w:rPr>
          <w:rFonts w:hint="eastAsia" w:hAnsi="黑体" w:cs="黑体"/>
          <w:color w:val="auto"/>
          <w:szCs w:val="21"/>
        </w:rPr>
        <w:t>评价依据</w:t>
      </w:r>
      <w:bookmarkEnd w:id="54"/>
      <w:bookmarkEnd w:id="55"/>
      <w:bookmarkEnd w:id="56"/>
    </w:p>
    <w:p w14:paraId="21A3AF00">
      <w:pPr>
        <w:widowControl/>
        <w:ind w:firstLine="420" w:firstLineChars="200"/>
        <w:jc w:val="left"/>
        <w:rPr>
          <w:rFonts w:hint="eastAsia" w:ascii="宋体" w:hAnsi="宋体" w:cs="宋体"/>
          <w:color w:val="auto"/>
          <w:kern w:val="2"/>
          <w:szCs w:val="21"/>
          <w:lang w:bidi="ar"/>
        </w:rPr>
      </w:pPr>
      <w:r>
        <w:rPr>
          <w:rFonts w:hint="eastAsia" w:ascii="宋体" w:hAnsi="宋体" w:cs="宋体"/>
          <w:color w:val="auto"/>
          <w:kern w:val="2"/>
          <w:szCs w:val="21"/>
          <w:lang w:bidi="ar"/>
        </w:rPr>
        <w:t>产业园区物业服务质量的评价</w:t>
      </w:r>
      <w:r>
        <w:rPr>
          <w:rFonts w:hint="eastAsia" w:ascii="宋体" w:hAnsi="宋体" w:cs="宋体"/>
          <w:color w:val="auto"/>
          <w:kern w:val="2"/>
          <w:szCs w:val="21"/>
          <w:lang w:val="en-US" w:eastAsia="zh-CN" w:bidi="ar"/>
        </w:rPr>
        <w:t>应包括下列</w:t>
      </w:r>
      <w:r>
        <w:rPr>
          <w:rFonts w:hint="eastAsia" w:ascii="宋体" w:hAnsi="宋体" w:cs="宋体"/>
          <w:color w:val="auto"/>
          <w:kern w:val="2"/>
          <w:szCs w:val="21"/>
          <w:lang w:bidi="ar"/>
        </w:rPr>
        <w:t>依据：</w:t>
      </w:r>
    </w:p>
    <w:p w14:paraId="73DA6805">
      <w:pPr>
        <w:widowControl/>
        <w:ind w:firstLine="420" w:firstLineChars="200"/>
        <w:jc w:val="left"/>
        <w:rPr>
          <w:rFonts w:hint="eastAsia" w:ascii="宋体" w:hAnsi="宋体" w:eastAsia="宋体" w:cs="宋体"/>
          <w:color w:val="auto"/>
          <w:kern w:val="2"/>
          <w:szCs w:val="21"/>
          <w:lang w:val="en-US" w:eastAsia="zh-CN" w:bidi="ar"/>
        </w:rPr>
      </w:pPr>
      <w:r>
        <w:rPr>
          <w:rFonts w:hint="eastAsia" w:ascii="宋体" w:hAnsi="宋体" w:eastAsia="宋体" w:cs="宋体"/>
          <w:color w:val="auto"/>
          <w:kern w:val="2"/>
          <w:szCs w:val="21"/>
          <w:lang w:bidi="ar"/>
        </w:rPr>
        <w:t>——与物业管理行业相关的国家标准、行业标准、地方标准</w:t>
      </w:r>
      <w:r>
        <w:rPr>
          <w:rFonts w:hint="eastAsia" w:ascii="宋体" w:hAnsi="宋体" w:cs="宋体"/>
          <w:color w:val="auto"/>
          <w:kern w:val="2"/>
          <w:szCs w:val="21"/>
          <w:lang w:eastAsia="zh-CN" w:bidi="ar"/>
        </w:rPr>
        <w:t>、</w:t>
      </w:r>
      <w:r>
        <w:rPr>
          <w:rFonts w:hint="eastAsia" w:ascii="宋体" w:hAnsi="宋体" w:cs="宋体"/>
          <w:color w:val="auto"/>
          <w:kern w:val="2"/>
          <w:szCs w:val="21"/>
          <w:lang w:val="en-US" w:eastAsia="zh-CN" w:bidi="ar"/>
        </w:rPr>
        <w:t>团体标准</w:t>
      </w:r>
      <w:r>
        <w:rPr>
          <w:rFonts w:hint="eastAsia" w:ascii="宋体" w:hAnsi="宋体" w:eastAsia="宋体" w:cs="宋体"/>
          <w:color w:val="auto"/>
          <w:kern w:val="2"/>
          <w:szCs w:val="21"/>
          <w:lang w:bidi="ar"/>
        </w:rPr>
        <w:t>等</w:t>
      </w:r>
      <w:r>
        <w:rPr>
          <w:rFonts w:hint="eastAsia" w:ascii="宋体" w:hAnsi="宋体" w:cs="宋体"/>
          <w:color w:val="auto"/>
          <w:kern w:val="2"/>
          <w:szCs w:val="21"/>
          <w:lang w:eastAsia="zh-CN" w:bidi="ar"/>
        </w:rPr>
        <w:t>；</w:t>
      </w:r>
    </w:p>
    <w:p w14:paraId="1F7D4D39">
      <w:pPr>
        <w:widowControl/>
        <w:ind w:firstLine="420" w:firstLineChars="200"/>
        <w:jc w:val="left"/>
        <w:rPr>
          <w:rFonts w:hint="default" w:ascii="宋体" w:hAnsi="宋体" w:eastAsia="宋体" w:cs="宋体"/>
          <w:color w:val="auto"/>
          <w:szCs w:val="21"/>
          <w:lang w:val="en-US" w:eastAsia="zh-CN"/>
        </w:rPr>
      </w:pPr>
      <w:r>
        <w:rPr>
          <w:rFonts w:hint="eastAsia" w:ascii="宋体" w:hAnsi="宋体" w:eastAsia="宋体" w:cs="宋体"/>
          <w:color w:val="auto"/>
          <w:kern w:val="2"/>
          <w:szCs w:val="21"/>
          <w:lang w:bidi="ar"/>
        </w:rPr>
        <w:t>——与产业园区物业服务相关的国家、地方法律法规及规章</w:t>
      </w:r>
      <w:r>
        <w:rPr>
          <w:rFonts w:hint="eastAsia" w:ascii="宋体" w:hAnsi="宋体" w:cs="宋体"/>
          <w:color w:val="auto"/>
          <w:kern w:val="2"/>
          <w:szCs w:val="21"/>
          <w:lang w:eastAsia="zh-CN" w:bidi="ar"/>
        </w:rPr>
        <w:t>、</w:t>
      </w:r>
      <w:r>
        <w:rPr>
          <w:rFonts w:hint="eastAsia" w:ascii="宋体" w:hAnsi="宋体" w:cs="宋体"/>
          <w:color w:val="auto"/>
          <w:kern w:val="2"/>
          <w:szCs w:val="21"/>
          <w:lang w:val="en-US" w:eastAsia="zh-CN" w:bidi="ar"/>
        </w:rPr>
        <w:t>指导文件</w:t>
      </w:r>
      <w:r>
        <w:rPr>
          <w:rFonts w:hint="eastAsia" w:ascii="宋体" w:hAnsi="宋体" w:eastAsia="宋体" w:cs="宋体"/>
          <w:color w:val="auto"/>
          <w:kern w:val="2"/>
          <w:szCs w:val="21"/>
          <w:lang w:bidi="ar"/>
        </w:rPr>
        <w:t>等；</w:t>
      </w:r>
    </w:p>
    <w:p w14:paraId="48002ED3">
      <w:pPr>
        <w:widowControl/>
        <w:ind w:firstLine="420" w:firstLineChars="200"/>
        <w:jc w:val="left"/>
        <w:rPr>
          <w:rFonts w:hint="eastAsia" w:ascii="宋体" w:hAnsi="宋体" w:eastAsia="宋体" w:cs="宋体"/>
          <w:color w:val="auto"/>
          <w:kern w:val="2"/>
          <w:szCs w:val="21"/>
          <w:lang w:bidi="ar"/>
        </w:rPr>
      </w:pPr>
      <w:r>
        <w:rPr>
          <w:rFonts w:hint="eastAsia" w:ascii="宋体" w:hAnsi="宋体" w:eastAsia="宋体" w:cs="宋体"/>
          <w:color w:val="auto"/>
          <w:kern w:val="2"/>
          <w:szCs w:val="21"/>
          <w:lang w:bidi="ar"/>
        </w:rPr>
        <w:t>——与客户签订的物业服务合同或协议、服务承诺；</w:t>
      </w:r>
    </w:p>
    <w:p w14:paraId="4A111E3B">
      <w:pPr>
        <w:widowControl/>
        <w:ind w:firstLine="420" w:firstLineChars="200"/>
        <w:jc w:val="left"/>
        <w:rPr>
          <w:rFonts w:hint="eastAsia" w:ascii="宋体" w:hAnsi="宋体" w:eastAsia="宋体" w:cs="宋体"/>
          <w:color w:val="auto"/>
          <w:kern w:val="2"/>
          <w:szCs w:val="21"/>
          <w:lang w:eastAsia="zh-CN" w:bidi="ar"/>
        </w:rPr>
      </w:pPr>
      <w:r>
        <w:rPr>
          <w:rFonts w:hint="eastAsia" w:ascii="宋体" w:hAnsi="宋体" w:eastAsia="宋体" w:cs="宋体"/>
          <w:color w:val="auto"/>
          <w:kern w:val="2"/>
          <w:szCs w:val="21"/>
          <w:lang w:bidi="ar"/>
        </w:rPr>
        <w:t>——</w:t>
      </w:r>
      <w:r>
        <w:rPr>
          <w:rFonts w:hint="eastAsia" w:ascii="宋体" w:hAnsi="宋体" w:cs="宋体"/>
          <w:color w:val="auto"/>
          <w:szCs w:val="21"/>
        </w:rPr>
        <w:t>T/CPMI 017《产业园区物业服务规范》</w:t>
      </w:r>
      <w:r>
        <w:rPr>
          <w:rFonts w:hint="eastAsia" w:ascii="宋体" w:hAnsi="宋体" w:cs="宋体"/>
          <w:color w:val="auto"/>
          <w:szCs w:val="21"/>
          <w:lang w:eastAsia="zh-CN"/>
        </w:rPr>
        <w:t>；</w:t>
      </w:r>
    </w:p>
    <w:p w14:paraId="0DC1A583">
      <w:pPr>
        <w:ind w:firstLine="420" w:firstLineChars="200"/>
        <w:rPr>
          <w:rFonts w:hint="eastAsia" w:ascii="宋体" w:hAnsi="宋体" w:cs="宋体"/>
          <w:color w:val="auto"/>
          <w:szCs w:val="21"/>
        </w:rPr>
      </w:pPr>
      <w:r>
        <w:rPr>
          <w:rFonts w:hint="eastAsia" w:ascii="宋体" w:hAnsi="宋体" w:eastAsia="宋体" w:cs="宋体"/>
          <w:color w:val="auto"/>
          <w:kern w:val="2"/>
          <w:szCs w:val="21"/>
          <w:lang w:bidi="ar"/>
        </w:rPr>
        <w:t>——其他</w:t>
      </w:r>
      <w:r>
        <w:rPr>
          <w:rFonts w:hint="eastAsia" w:ascii="宋体" w:hAnsi="宋体" w:cs="宋体"/>
          <w:color w:val="auto"/>
          <w:kern w:val="2"/>
          <w:szCs w:val="21"/>
          <w:lang w:val="en-US" w:eastAsia="zh-CN" w:bidi="ar"/>
        </w:rPr>
        <w:t>相关文件</w:t>
      </w:r>
      <w:r>
        <w:rPr>
          <w:rFonts w:hint="eastAsia" w:ascii="宋体" w:hAnsi="宋体" w:eastAsia="宋体" w:cs="宋体"/>
          <w:color w:val="auto"/>
          <w:kern w:val="2"/>
          <w:szCs w:val="21"/>
          <w:lang w:bidi="ar"/>
        </w:rPr>
        <w:t>。</w:t>
      </w:r>
    </w:p>
    <w:p w14:paraId="58F75187">
      <w:pPr>
        <w:pStyle w:val="72"/>
        <w:numPr>
          <w:ilvl w:val="0"/>
          <w:numId w:val="5"/>
        </w:numPr>
        <w:spacing w:before="240" w:after="240"/>
        <w:outlineLvl w:val="0"/>
        <w:rPr>
          <w:rFonts w:hint="eastAsia" w:hAnsi="黑体" w:cs="黑体"/>
          <w:color w:val="auto"/>
          <w:szCs w:val="21"/>
        </w:rPr>
      </w:pPr>
      <w:r>
        <w:rPr>
          <w:rFonts w:hint="eastAsia" w:hAnsi="黑体" w:cs="黑体"/>
          <w:color w:val="auto"/>
          <w:szCs w:val="21"/>
        </w:rPr>
        <w:t xml:space="preserve">  </w:t>
      </w:r>
      <w:bookmarkStart w:id="57" w:name="_Toc5030"/>
      <w:bookmarkStart w:id="58" w:name="_Toc21979"/>
      <w:bookmarkStart w:id="59" w:name="_Toc2383"/>
      <w:r>
        <w:rPr>
          <w:rFonts w:hint="eastAsia" w:hAnsi="黑体" w:cs="黑体"/>
          <w:color w:val="auto"/>
          <w:szCs w:val="21"/>
        </w:rPr>
        <w:t>评价指标体系和取值规则</w:t>
      </w:r>
      <w:bookmarkEnd w:id="57"/>
      <w:bookmarkEnd w:id="58"/>
      <w:bookmarkEnd w:id="59"/>
    </w:p>
    <w:p w14:paraId="22FF9810">
      <w:pPr>
        <w:numPr>
          <w:ilvl w:val="1"/>
          <w:numId w:val="5"/>
        </w:numPr>
        <w:spacing w:before="120" w:beforeLines="50" w:after="120" w:afterLines="50"/>
        <w:outlineLvl w:val="1"/>
        <w:rPr>
          <w:rFonts w:hint="eastAsia" w:ascii="黑体" w:hAnsi="黑体" w:eastAsia="黑体" w:cs="黑体"/>
          <w:color w:val="auto"/>
          <w:szCs w:val="21"/>
        </w:rPr>
      </w:pPr>
      <w:r>
        <w:rPr>
          <w:rFonts w:hint="eastAsia" w:ascii="黑体" w:hAnsi="黑体" w:eastAsia="黑体" w:cs="黑体"/>
          <w:color w:val="auto"/>
          <w:szCs w:val="21"/>
        </w:rPr>
        <w:t xml:space="preserve">  </w:t>
      </w:r>
      <w:bookmarkStart w:id="60" w:name="_Toc838015878"/>
      <w:bookmarkStart w:id="61" w:name="_Toc17027"/>
      <w:bookmarkStart w:id="62" w:name="_Toc619"/>
      <w:bookmarkStart w:id="63" w:name="_Toc1022492681"/>
      <w:r>
        <w:rPr>
          <w:rFonts w:hint="eastAsia" w:ascii="黑体" w:hAnsi="黑体" w:eastAsia="黑体" w:cs="黑体"/>
          <w:color w:val="auto"/>
          <w:szCs w:val="21"/>
        </w:rPr>
        <w:t>评价指标体系</w:t>
      </w:r>
      <w:bookmarkEnd w:id="60"/>
      <w:bookmarkEnd w:id="61"/>
      <w:bookmarkEnd w:id="62"/>
      <w:bookmarkEnd w:id="63"/>
    </w:p>
    <w:p w14:paraId="4279667E">
      <w:pPr>
        <w:widowControl/>
        <w:ind w:firstLine="420" w:firstLineChars="200"/>
        <w:jc w:val="left"/>
        <w:rPr>
          <w:rFonts w:hint="eastAsia" w:hAnsi="宋体" w:cs="宋体"/>
          <w:color w:val="auto"/>
          <w:kern w:val="0"/>
          <w:szCs w:val="21"/>
          <w:lang w:bidi="ar"/>
        </w:rPr>
      </w:pPr>
      <w:r>
        <w:rPr>
          <w:rFonts w:hint="eastAsia" w:hAnsi="宋体" w:cs="宋体"/>
          <w:color w:val="auto"/>
          <w:kern w:val="0"/>
          <w:szCs w:val="21"/>
          <w:lang w:bidi="ar"/>
        </w:rPr>
        <w:t>产业园区物业服务质量评价指标体系由服务</w:t>
      </w:r>
      <w:r>
        <w:rPr>
          <w:rFonts w:hint="eastAsia" w:hAnsi="宋体" w:cs="宋体"/>
          <w:color w:val="auto"/>
          <w:kern w:val="0"/>
          <w:szCs w:val="21"/>
          <w:lang w:val="en-US" w:eastAsia="zh-CN" w:bidi="ar"/>
        </w:rPr>
        <w:t>保障</w:t>
      </w:r>
      <w:r>
        <w:rPr>
          <w:rFonts w:hint="eastAsia" w:hAnsi="宋体" w:cs="宋体"/>
          <w:color w:val="auto"/>
          <w:kern w:val="0"/>
          <w:szCs w:val="21"/>
          <w:lang w:bidi="ar"/>
        </w:rPr>
        <w:t>、服务过程、服务结果三项一级指标构成，每个一级指标根据涉及的范围、客户需求、关键因素等内容</w:t>
      </w:r>
      <w:r>
        <w:rPr>
          <w:rFonts w:hint="eastAsia" w:hAnsi="宋体" w:cs="宋体"/>
          <w:color w:val="auto"/>
          <w:kern w:val="0"/>
          <w:szCs w:val="21"/>
          <w:lang w:val="en-US" w:eastAsia="zh-CN" w:bidi="ar"/>
        </w:rPr>
        <w:t>确定</w:t>
      </w:r>
      <w:r>
        <w:rPr>
          <w:rFonts w:hint="eastAsia" w:hAnsi="宋体" w:cs="宋体"/>
          <w:color w:val="auto"/>
          <w:kern w:val="0"/>
          <w:szCs w:val="21"/>
          <w:lang w:bidi="ar"/>
        </w:rPr>
        <w:t>下一级指标。</w:t>
      </w:r>
      <w:r>
        <w:rPr>
          <w:rFonts w:hint="eastAsia"/>
          <w:color w:val="auto"/>
        </w:rPr>
        <w:t>其中，服务</w:t>
      </w:r>
      <w:r>
        <w:rPr>
          <w:rFonts w:hint="eastAsia"/>
          <w:color w:val="auto"/>
          <w:lang w:val="en-US" w:eastAsia="zh-CN"/>
        </w:rPr>
        <w:t>保障宜</w:t>
      </w:r>
      <w:r>
        <w:rPr>
          <w:rFonts w:hint="eastAsia"/>
          <w:color w:val="auto"/>
        </w:rPr>
        <w:t>由5个二级指标和14个三级指标构成，服务过程</w:t>
      </w:r>
      <w:r>
        <w:rPr>
          <w:rFonts w:hint="eastAsia"/>
          <w:color w:val="auto"/>
          <w:lang w:val="en-US" w:eastAsia="zh-CN"/>
        </w:rPr>
        <w:t>宜</w:t>
      </w:r>
      <w:r>
        <w:rPr>
          <w:rFonts w:hint="eastAsia"/>
          <w:color w:val="auto"/>
        </w:rPr>
        <w:t>由9个二级指标和4</w:t>
      </w:r>
      <w:r>
        <w:rPr>
          <w:rFonts w:hint="eastAsia"/>
          <w:color w:val="auto"/>
          <w:lang w:val="en-US" w:eastAsia="zh-CN"/>
        </w:rPr>
        <w:t>5</w:t>
      </w:r>
      <w:r>
        <w:rPr>
          <w:rFonts w:hint="eastAsia"/>
          <w:color w:val="auto"/>
        </w:rPr>
        <w:t>个三级指标构成，服务结果</w:t>
      </w:r>
      <w:r>
        <w:rPr>
          <w:rFonts w:hint="eastAsia"/>
          <w:color w:val="auto"/>
          <w:lang w:val="en-US" w:eastAsia="zh-CN"/>
        </w:rPr>
        <w:t>宜</w:t>
      </w:r>
      <w:r>
        <w:rPr>
          <w:rFonts w:hint="eastAsia"/>
          <w:color w:val="auto"/>
        </w:rPr>
        <w:t>由2个二级指标和</w:t>
      </w:r>
      <w:r>
        <w:rPr>
          <w:rFonts w:hint="eastAsia"/>
          <w:color w:val="auto"/>
          <w:lang w:val="en-US" w:eastAsia="zh-CN"/>
        </w:rPr>
        <w:t>4</w:t>
      </w:r>
      <w:r>
        <w:rPr>
          <w:rFonts w:hint="eastAsia"/>
          <w:color w:val="auto"/>
        </w:rPr>
        <w:t>个三级指标构成。各级具体指标见表1。</w:t>
      </w:r>
    </w:p>
    <w:p w14:paraId="465DD0F5">
      <w:pPr>
        <w:pStyle w:val="28"/>
        <w:spacing w:before="240" w:line="360" w:lineRule="auto"/>
        <w:ind w:firstLine="0" w:firstLineChars="0"/>
        <w:jc w:val="center"/>
        <w:rPr>
          <w:rFonts w:hint="eastAsia" w:hAnsi="宋体" w:cs="宋体"/>
          <w:color w:val="auto"/>
          <w:szCs w:val="21"/>
          <w:lang w:bidi="ar"/>
        </w:rPr>
      </w:pPr>
      <w:r>
        <w:rPr>
          <w:rFonts w:hint="eastAsia" w:ascii="黑体" w:hAnsi="黑体" w:eastAsia="黑体" w:cs="黑体"/>
          <w:color w:val="auto"/>
          <w:szCs w:val="21"/>
          <w:lang w:bidi="ar"/>
        </w:rPr>
        <w:t>表1  产业园区物业服务质量评价指标体系</w:t>
      </w:r>
    </w:p>
    <w:tbl>
      <w:tblPr>
        <w:tblStyle w:val="38"/>
        <w:tblW w:w="892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76"/>
        <w:gridCol w:w="2010"/>
        <w:gridCol w:w="5640"/>
      </w:tblGrid>
      <w:tr w14:paraId="732DE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blHeader/>
        </w:trPr>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DE87E">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一级指标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CE14">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二级指标</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322D">
            <w:pPr>
              <w:jc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三级指标</w:t>
            </w:r>
          </w:p>
        </w:tc>
      </w:tr>
      <w:tr w14:paraId="6F7AF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76" w:type="dxa"/>
            <w:vMerge w:val="restart"/>
            <w:tcBorders>
              <w:top w:val="single" w:color="000000" w:sz="4" w:space="0"/>
              <w:left w:val="single" w:color="000000" w:sz="4" w:space="0"/>
              <w:right w:val="single" w:color="000000" w:sz="4" w:space="0"/>
            </w:tcBorders>
            <w:shd w:val="clear" w:color="auto" w:fill="auto"/>
            <w:vAlign w:val="center"/>
          </w:tcPr>
          <w:p w14:paraId="7A49687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服务</w:t>
            </w:r>
            <w:r>
              <w:rPr>
                <w:rFonts w:hint="eastAsia" w:ascii="宋体" w:hAnsi="宋体" w:cs="宋体"/>
                <w:i w:val="0"/>
                <w:iCs w:val="0"/>
                <w:color w:val="auto"/>
                <w:kern w:val="0"/>
                <w:sz w:val="18"/>
                <w:szCs w:val="18"/>
                <w:u w:val="none"/>
                <w:lang w:val="en-US" w:eastAsia="zh-CN" w:bidi="ar"/>
              </w:rPr>
              <w:t>保障</w:t>
            </w:r>
          </w:p>
        </w:tc>
        <w:tc>
          <w:tcPr>
            <w:tcW w:w="2010" w:type="dxa"/>
            <w:vMerge w:val="restart"/>
            <w:tcBorders>
              <w:top w:val="single" w:color="000000" w:sz="4" w:space="0"/>
              <w:left w:val="single" w:color="000000" w:sz="4" w:space="0"/>
              <w:right w:val="single" w:color="000000" w:sz="4" w:space="0"/>
            </w:tcBorders>
            <w:shd w:val="clear" w:color="auto" w:fill="auto"/>
            <w:vAlign w:val="center"/>
          </w:tcPr>
          <w:p w14:paraId="2C69F1C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服务组织</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8921A">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组织信用</w:t>
            </w:r>
          </w:p>
        </w:tc>
      </w:tr>
      <w:tr w14:paraId="33843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1276" w:type="dxa"/>
            <w:vMerge w:val="continue"/>
            <w:tcBorders>
              <w:left w:val="single" w:color="000000" w:sz="4" w:space="0"/>
              <w:right w:val="single" w:color="000000" w:sz="4" w:space="0"/>
            </w:tcBorders>
            <w:shd w:val="clear" w:color="auto" w:fill="auto"/>
            <w:vAlign w:val="center"/>
          </w:tcPr>
          <w:p w14:paraId="55FB1941">
            <w:pPr>
              <w:jc w:val="center"/>
              <w:rPr>
                <w:rFonts w:hint="eastAsia" w:ascii="宋体" w:hAnsi="宋体" w:eastAsia="宋体" w:cs="宋体"/>
                <w:i w:val="0"/>
                <w:iCs w:val="0"/>
                <w:color w:val="auto"/>
                <w:sz w:val="18"/>
                <w:szCs w:val="18"/>
                <w:u w:val="none"/>
              </w:rPr>
            </w:pPr>
          </w:p>
        </w:tc>
        <w:tc>
          <w:tcPr>
            <w:tcW w:w="2010" w:type="dxa"/>
            <w:vMerge w:val="continue"/>
            <w:tcBorders>
              <w:left w:val="single" w:color="000000" w:sz="4" w:space="0"/>
              <w:right w:val="single" w:color="000000" w:sz="4" w:space="0"/>
            </w:tcBorders>
            <w:shd w:val="clear" w:color="auto" w:fill="auto"/>
            <w:vAlign w:val="center"/>
          </w:tcPr>
          <w:p w14:paraId="099F86E9">
            <w:pPr>
              <w:jc w:val="center"/>
              <w:rPr>
                <w:rFonts w:hint="eastAsia" w:ascii="宋体" w:hAnsi="宋体" w:eastAsia="宋体" w:cs="宋体"/>
                <w:i w:val="0"/>
                <w:iCs w:val="0"/>
                <w:color w:val="auto"/>
                <w:sz w:val="18"/>
                <w:szCs w:val="18"/>
                <w:u w:val="none"/>
              </w:rPr>
            </w:pP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8730A">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机构设置及人员配置</w:t>
            </w:r>
          </w:p>
        </w:tc>
      </w:tr>
      <w:tr w14:paraId="01A8F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76" w:type="dxa"/>
            <w:vMerge w:val="continue"/>
            <w:tcBorders>
              <w:left w:val="single" w:color="000000" w:sz="4" w:space="0"/>
              <w:right w:val="single" w:color="000000" w:sz="4" w:space="0"/>
            </w:tcBorders>
            <w:shd w:val="clear" w:color="auto" w:fill="auto"/>
            <w:vAlign w:val="center"/>
          </w:tcPr>
          <w:p w14:paraId="38002720">
            <w:pPr>
              <w:jc w:val="center"/>
              <w:rPr>
                <w:rFonts w:hint="eastAsia" w:ascii="宋体" w:hAnsi="宋体" w:eastAsia="宋体" w:cs="宋体"/>
                <w:i w:val="0"/>
                <w:iCs w:val="0"/>
                <w:color w:val="auto"/>
                <w:sz w:val="18"/>
                <w:szCs w:val="18"/>
                <w:u w:val="none"/>
              </w:rPr>
            </w:pPr>
          </w:p>
        </w:tc>
        <w:tc>
          <w:tcPr>
            <w:tcW w:w="2010" w:type="dxa"/>
            <w:vMerge w:val="continue"/>
            <w:tcBorders>
              <w:left w:val="single" w:color="000000" w:sz="4" w:space="0"/>
              <w:right w:val="single" w:color="000000" w:sz="4" w:space="0"/>
            </w:tcBorders>
            <w:shd w:val="clear" w:color="auto" w:fill="auto"/>
            <w:vAlign w:val="center"/>
          </w:tcPr>
          <w:p w14:paraId="7A628129">
            <w:pPr>
              <w:jc w:val="center"/>
              <w:rPr>
                <w:rFonts w:hint="eastAsia" w:ascii="宋体" w:hAnsi="宋体" w:eastAsia="宋体" w:cs="宋体"/>
                <w:i w:val="0"/>
                <w:iCs w:val="0"/>
                <w:color w:val="auto"/>
                <w:sz w:val="18"/>
                <w:szCs w:val="18"/>
                <w:u w:val="none"/>
              </w:rPr>
            </w:pP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EEA7">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管理制度或标准</w:t>
            </w:r>
          </w:p>
        </w:tc>
      </w:tr>
      <w:tr w14:paraId="1492C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76" w:type="dxa"/>
            <w:vMerge w:val="continue"/>
            <w:tcBorders>
              <w:left w:val="single" w:color="000000" w:sz="4" w:space="0"/>
              <w:right w:val="single" w:color="000000" w:sz="4" w:space="0"/>
            </w:tcBorders>
            <w:shd w:val="clear" w:color="auto" w:fill="auto"/>
            <w:vAlign w:val="center"/>
          </w:tcPr>
          <w:p w14:paraId="799C0595">
            <w:pPr>
              <w:jc w:val="center"/>
              <w:rPr>
                <w:rFonts w:hint="eastAsia" w:ascii="宋体" w:hAnsi="宋体" w:eastAsia="宋体" w:cs="宋体"/>
                <w:i w:val="0"/>
                <w:iCs w:val="0"/>
                <w:color w:val="auto"/>
                <w:sz w:val="18"/>
                <w:szCs w:val="18"/>
                <w:u w:val="none"/>
              </w:rPr>
            </w:pPr>
          </w:p>
        </w:tc>
        <w:tc>
          <w:tcPr>
            <w:tcW w:w="2010" w:type="dxa"/>
            <w:vMerge w:val="continue"/>
            <w:tcBorders>
              <w:left w:val="single" w:color="000000" w:sz="4" w:space="0"/>
              <w:bottom w:val="single" w:color="000000" w:sz="4" w:space="0"/>
              <w:right w:val="single" w:color="000000" w:sz="4" w:space="0"/>
            </w:tcBorders>
            <w:shd w:val="clear" w:color="auto" w:fill="auto"/>
            <w:vAlign w:val="center"/>
          </w:tcPr>
          <w:p w14:paraId="3EF05F68">
            <w:pPr>
              <w:jc w:val="center"/>
              <w:rPr>
                <w:rFonts w:hint="eastAsia" w:ascii="宋体" w:hAnsi="宋体" w:eastAsia="宋体" w:cs="宋体"/>
                <w:i w:val="0"/>
                <w:iCs w:val="0"/>
                <w:color w:val="auto"/>
                <w:sz w:val="18"/>
                <w:szCs w:val="18"/>
                <w:u w:val="none"/>
              </w:rPr>
            </w:pP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C76EB">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文化建设</w:t>
            </w:r>
          </w:p>
        </w:tc>
      </w:tr>
      <w:tr w14:paraId="06CE0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76" w:type="dxa"/>
            <w:vMerge w:val="continue"/>
            <w:tcBorders>
              <w:left w:val="single" w:color="000000" w:sz="4" w:space="0"/>
              <w:right w:val="single" w:color="000000" w:sz="4" w:space="0"/>
            </w:tcBorders>
            <w:shd w:val="clear" w:color="auto" w:fill="auto"/>
            <w:vAlign w:val="center"/>
          </w:tcPr>
          <w:p w14:paraId="4E042486">
            <w:pPr>
              <w:jc w:val="center"/>
              <w:rPr>
                <w:rFonts w:hint="eastAsia" w:ascii="宋体" w:hAnsi="宋体" w:eastAsia="宋体" w:cs="宋体"/>
                <w:i w:val="0"/>
                <w:iCs w:val="0"/>
                <w:color w:val="auto"/>
                <w:sz w:val="18"/>
                <w:szCs w:val="18"/>
                <w:u w:val="none"/>
              </w:rPr>
            </w:pPr>
          </w:p>
        </w:tc>
        <w:tc>
          <w:tcPr>
            <w:tcW w:w="2010" w:type="dxa"/>
            <w:vMerge w:val="restart"/>
            <w:tcBorders>
              <w:top w:val="single" w:color="000000" w:sz="4" w:space="0"/>
              <w:left w:val="single" w:color="000000" w:sz="4" w:space="0"/>
              <w:right w:val="single" w:color="000000" w:sz="4" w:space="0"/>
            </w:tcBorders>
            <w:shd w:val="clear" w:color="auto" w:fill="auto"/>
            <w:vAlign w:val="center"/>
          </w:tcPr>
          <w:p w14:paraId="65A4E57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服务人员</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4E97">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人员资质</w:t>
            </w:r>
          </w:p>
        </w:tc>
      </w:tr>
      <w:tr w14:paraId="03671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76" w:type="dxa"/>
            <w:vMerge w:val="continue"/>
            <w:tcBorders>
              <w:left w:val="single" w:color="000000" w:sz="4" w:space="0"/>
              <w:right w:val="single" w:color="000000" w:sz="4" w:space="0"/>
            </w:tcBorders>
            <w:shd w:val="clear" w:color="auto" w:fill="auto"/>
            <w:vAlign w:val="center"/>
          </w:tcPr>
          <w:p w14:paraId="2D92F565">
            <w:pPr>
              <w:jc w:val="center"/>
              <w:rPr>
                <w:rFonts w:hint="eastAsia" w:ascii="宋体" w:hAnsi="宋体" w:eastAsia="宋体" w:cs="宋体"/>
                <w:i w:val="0"/>
                <w:iCs w:val="0"/>
                <w:color w:val="auto"/>
                <w:sz w:val="18"/>
                <w:szCs w:val="18"/>
                <w:u w:val="none"/>
              </w:rPr>
            </w:pPr>
          </w:p>
        </w:tc>
        <w:tc>
          <w:tcPr>
            <w:tcW w:w="2010" w:type="dxa"/>
            <w:vMerge w:val="continue"/>
            <w:tcBorders>
              <w:left w:val="single" w:color="000000" w:sz="4" w:space="0"/>
              <w:right w:val="single" w:color="000000" w:sz="4" w:space="0"/>
            </w:tcBorders>
            <w:shd w:val="clear" w:color="auto" w:fill="auto"/>
            <w:vAlign w:val="center"/>
          </w:tcPr>
          <w:p w14:paraId="4FA92BA0">
            <w:pPr>
              <w:jc w:val="center"/>
              <w:rPr>
                <w:rFonts w:hint="eastAsia" w:ascii="宋体" w:hAnsi="宋体" w:eastAsia="宋体" w:cs="宋体"/>
                <w:i w:val="0"/>
                <w:iCs w:val="0"/>
                <w:color w:val="auto"/>
                <w:sz w:val="18"/>
                <w:szCs w:val="18"/>
                <w:u w:val="none"/>
              </w:rPr>
            </w:pP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343FE">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人员培训</w:t>
            </w:r>
          </w:p>
        </w:tc>
      </w:tr>
      <w:tr w14:paraId="512D9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1276" w:type="dxa"/>
            <w:vMerge w:val="continue"/>
            <w:tcBorders>
              <w:left w:val="single" w:color="000000" w:sz="4" w:space="0"/>
              <w:right w:val="single" w:color="000000" w:sz="4" w:space="0"/>
            </w:tcBorders>
            <w:shd w:val="clear" w:color="auto" w:fill="auto"/>
            <w:vAlign w:val="center"/>
          </w:tcPr>
          <w:p w14:paraId="2AAE65F1">
            <w:pPr>
              <w:jc w:val="center"/>
              <w:rPr>
                <w:rFonts w:hint="eastAsia" w:ascii="宋体" w:hAnsi="宋体" w:eastAsia="宋体" w:cs="宋体"/>
                <w:i w:val="0"/>
                <w:iCs w:val="0"/>
                <w:color w:val="auto"/>
                <w:sz w:val="18"/>
                <w:szCs w:val="18"/>
                <w:u w:val="none"/>
              </w:rPr>
            </w:pPr>
          </w:p>
        </w:tc>
        <w:tc>
          <w:tcPr>
            <w:tcW w:w="2010" w:type="dxa"/>
            <w:vMerge w:val="continue"/>
            <w:tcBorders>
              <w:left w:val="single" w:color="000000" w:sz="4" w:space="0"/>
              <w:bottom w:val="single" w:color="000000" w:sz="4" w:space="0"/>
              <w:right w:val="single" w:color="000000" w:sz="4" w:space="0"/>
            </w:tcBorders>
            <w:shd w:val="clear" w:color="auto" w:fill="auto"/>
            <w:vAlign w:val="center"/>
          </w:tcPr>
          <w:p w14:paraId="7E1F3CC3">
            <w:pPr>
              <w:jc w:val="center"/>
              <w:rPr>
                <w:rFonts w:hint="eastAsia" w:ascii="宋体" w:hAnsi="宋体" w:eastAsia="宋体" w:cs="宋体"/>
                <w:i w:val="0"/>
                <w:iCs w:val="0"/>
                <w:color w:val="auto"/>
                <w:sz w:val="18"/>
                <w:szCs w:val="18"/>
                <w:u w:val="none"/>
              </w:rPr>
            </w:pP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C3B9">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服务技能与素质</w:t>
            </w:r>
          </w:p>
        </w:tc>
      </w:tr>
      <w:tr w14:paraId="01831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1276" w:type="dxa"/>
            <w:vMerge w:val="continue"/>
            <w:tcBorders>
              <w:left w:val="single" w:color="000000" w:sz="4" w:space="0"/>
              <w:right w:val="single" w:color="000000" w:sz="4" w:space="0"/>
            </w:tcBorders>
            <w:shd w:val="clear" w:color="auto" w:fill="auto"/>
            <w:vAlign w:val="center"/>
          </w:tcPr>
          <w:p w14:paraId="616DB984">
            <w:pPr>
              <w:jc w:val="center"/>
              <w:rPr>
                <w:rFonts w:hint="eastAsia" w:ascii="宋体" w:hAnsi="宋体" w:eastAsia="宋体" w:cs="宋体"/>
                <w:i w:val="0"/>
                <w:iCs w:val="0"/>
                <w:color w:val="auto"/>
                <w:sz w:val="18"/>
                <w:szCs w:val="18"/>
                <w:u w:val="none"/>
              </w:rPr>
            </w:pPr>
          </w:p>
        </w:tc>
        <w:tc>
          <w:tcPr>
            <w:tcW w:w="2010" w:type="dxa"/>
            <w:vMerge w:val="restart"/>
            <w:tcBorders>
              <w:top w:val="single" w:color="000000" w:sz="4" w:space="0"/>
              <w:left w:val="single" w:color="000000" w:sz="4" w:space="0"/>
              <w:right w:val="single" w:color="000000" w:sz="4" w:space="0"/>
            </w:tcBorders>
            <w:shd w:val="clear" w:color="auto" w:fill="auto"/>
            <w:vAlign w:val="center"/>
          </w:tcPr>
          <w:p w14:paraId="22F5EBD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服务设施与环境</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B7AE5">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服务场所标志与标识</w:t>
            </w:r>
          </w:p>
        </w:tc>
      </w:tr>
      <w:tr w14:paraId="610BB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76" w:type="dxa"/>
            <w:vMerge w:val="continue"/>
            <w:tcBorders>
              <w:left w:val="single" w:color="000000" w:sz="4" w:space="0"/>
              <w:right w:val="single" w:color="000000" w:sz="4" w:space="0"/>
            </w:tcBorders>
            <w:shd w:val="clear" w:color="auto" w:fill="auto"/>
            <w:vAlign w:val="center"/>
          </w:tcPr>
          <w:p w14:paraId="303A5ACD">
            <w:pPr>
              <w:jc w:val="center"/>
              <w:rPr>
                <w:rFonts w:hint="eastAsia" w:ascii="宋体" w:hAnsi="宋体" w:eastAsia="宋体" w:cs="宋体"/>
                <w:i w:val="0"/>
                <w:iCs w:val="0"/>
                <w:color w:val="auto"/>
                <w:sz w:val="18"/>
                <w:szCs w:val="18"/>
                <w:u w:val="none"/>
              </w:rPr>
            </w:pPr>
          </w:p>
        </w:tc>
        <w:tc>
          <w:tcPr>
            <w:tcW w:w="2010" w:type="dxa"/>
            <w:vMerge w:val="continue"/>
            <w:tcBorders>
              <w:left w:val="single" w:color="000000" w:sz="4" w:space="0"/>
              <w:right w:val="single" w:color="000000" w:sz="4" w:space="0"/>
            </w:tcBorders>
            <w:shd w:val="clear" w:color="auto" w:fill="auto"/>
            <w:vAlign w:val="center"/>
          </w:tcPr>
          <w:p w14:paraId="3E600AFE">
            <w:pPr>
              <w:jc w:val="center"/>
              <w:rPr>
                <w:rFonts w:hint="eastAsia" w:ascii="宋体" w:hAnsi="宋体" w:eastAsia="宋体" w:cs="宋体"/>
                <w:i w:val="0"/>
                <w:iCs w:val="0"/>
                <w:color w:val="auto"/>
                <w:sz w:val="18"/>
                <w:szCs w:val="18"/>
                <w:u w:val="none"/>
              </w:rPr>
            </w:pP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45001">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服务设施设备</w:t>
            </w:r>
          </w:p>
        </w:tc>
      </w:tr>
      <w:tr w14:paraId="492E6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76" w:type="dxa"/>
            <w:vMerge w:val="continue"/>
            <w:tcBorders>
              <w:left w:val="single" w:color="000000" w:sz="4" w:space="0"/>
              <w:right w:val="single" w:color="000000" w:sz="4" w:space="0"/>
            </w:tcBorders>
            <w:shd w:val="clear" w:color="auto" w:fill="auto"/>
            <w:vAlign w:val="center"/>
          </w:tcPr>
          <w:p w14:paraId="57D8E24A">
            <w:pPr>
              <w:jc w:val="center"/>
              <w:rPr>
                <w:rFonts w:hint="eastAsia" w:ascii="宋体" w:hAnsi="宋体" w:eastAsia="宋体" w:cs="宋体"/>
                <w:i w:val="0"/>
                <w:iCs w:val="0"/>
                <w:color w:val="auto"/>
                <w:sz w:val="18"/>
                <w:szCs w:val="18"/>
                <w:u w:val="none"/>
              </w:rPr>
            </w:pPr>
          </w:p>
        </w:tc>
        <w:tc>
          <w:tcPr>
            <w:tcW w:w="2010" w:type="dxa"/>
            <w:vMerge w:val="continue"/>
            <w:tcBorders>
              <w:left w:val="single" w:color="000000" w:sz="4" w:space="0"/>
              <w:bottom w:val="single" w:color="000000" w:sz="4" w:space="0"/>
              <w:right w:val="single" w:color="000000" w:sz="4" w:space="0"/>
            </w:tcBorders>
            <w:shd w:val="clear" w:color="auto" w:fill="auto"/>
            <w:vAlign w:val="center"/>
          </w:tcPr>
          <w:p w14:paraId="17031714">
            <w:pPr>
              <w:jc w:val="center"/>
              <w:rPr>
                <w:rFonts w:hint="eastAsia" w:ascii="宋体" w:hAnsi="宋体" w:eastAsia="宋体" w:cs="宋体"/>
                <w:i w:val="0"/>
                <w:iCs w:val="0"/>
                <w:color w:val="auto"/>
                <w:sz w:val="18"/>
                <w:szCs w:val="18"/>
                <w:u w:val="none"/>
              </w:rPr>
            </w:pP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3F55D">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数字化管理系统</w:t>
            </w:r>
          </w:p>
        </w:tc>
      </w:tr>
      <w:tr w14:paraId="5A23A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76" w:type="dxa"/>
            <w:vMerge w:val="continue"/>
            <w:tcBorders>
              <w:left w:val="single" w:color="000000" w:sz="4" w:space="0"/>
              <w:right w:val="single" w:color="000000" w:sz="4" w:space="0"/>
            </w:tcBorders>
            <w:shd w:val="clear" w:color="auto" w:fill="auto"/>
            <w:vAlign w:val="center"/>
          </w:tcPr>
          <w:p w14:paraId="49F1E166">
            <w:pPr>
              <w:jc w:val="center"/>
              <w:rPr>
                <w:rFonts w:hint="eastAsia" w:ascii="宋体" w:hAnsi="宋体" w:eastAsia="宋体" w:cs="宋体"/>
                <w:i w:val="0"/>
                <w:iCs w:val="0"/>
                <w:color w:val="auto"/>
                <w:sz w:val="18"/>
                <w:szCs w:val="18"/>
                <w:u w:val="none"/>
              </w:rPr>
            </w:pPr>
          </w:p>
        </w:tc>
        <w:tc>
          <w:tcPr>
            <w:tcW w:w="2010" w:type="dxa"/>
            <w:vMerge w:val="restart"/>
            <w:tcBorders>
              <w:top w:val="single" w:color="000000" w:sz="4" w:space="0"/>
              <w:left w:val="single" w:color="000000" w:sz="4" w:space="0"/>
              <w:right w:val="single" w:color="000000" w:sz="4" w:space="0"/>
            </w:tcBorders>
            <w:shd w:val="clear" w:color="auto" w:fill="auto"/>
            <w:vAlign w:val="center"/>
          </w:tcPr>
          <w:p w14:paraId="4C9FF4B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专业供应商</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28106">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专业供应商</w:t>
            </w:r>
            <w:r>
              <w:rPr>
                <w:rStyle w:val="233"/>
                <w:color w:val="auto"/>
                <w:lang w:val="en-US" w:eastAsia="zh-CN" w:bidi="ar"/>
              </w:rPr>
              <w:t>选聘</w:t>
            </w:r>
          </w:p>
        </w:tc>
      </w:tr>
      <w:tr w14:paraId="239AE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76" w:type="dxa"/>
            <w:vMerge w:val="continue"/>
            <w:tcBorders>
              <w:left w:val="single" w:color="000000" w:sz="4" w:space="0"/>
              <w:right w:val="single" w:color="000000" w:sz="4" w:space="0"/>
            </w:tcBorders>
            <w:shd w:val="clear" w:color="auto" w:fill="auto"/>
            <w:vAlign w:val="center"/>
          </w:tcPr>
          <w:p w14:paraId="42D0C3FC">
            <w:pPr>
              <w:jc w:val="center"/>
              <w:rPr>
                <w:rFonts w:hint="eastAsia" w:ascii="宋体" w:hAnsi="宋体" w:eastAsia="宋体" w:cs="宋体"/>
                <w:i w:val="0"/>
                <w:iCs w:val="0"/>
                <w:color w:val="auto"/>
                <w:sz w:val="18"/>
                <w:szCs w:val="18"/>
                <w:u w:val="none"/>
              </w:rPr>
            </w:pPr>
          </w:p>
        </w:tc>
        <w:tc>
          <w:tcPr>
            <w:tcW w:w="2010" w:type="dxa"/>
            <w:vMerge w:val="continue"/>
            <w:tcBorders>
              <w:left w:val="single" w:color="000000" w:sz="4" w:space="0"/>
              <w:bottom w:val="single" w:color="000000" w:sz="4" w:space="0"/>
              <w:right w:val="single" w:color="000000" w:sz="4" w:space="0"/>
            </w:tcBorders>
            <w:shd w:val="clear" w:color="auto" w:fill="auto"/>
            <w:vAlign w:val="center"/>
          </w:tcPr>
          <w:p w14:paraId="743E4802">
            <w:pPr>
              <w:jc w:val="center"/>
              <w:rPr>
                <w:rFonts w:hint="eastAsia" w:ascii="宋体" w:hAnsi="宋体" w:eastAsia="宋体" w:cs="宋体"/>
                <w:i w:val="0"/>
                <w:iCs w:val="0"/>
                <w:color w:val="auto"/>
                <w:sz w:val="18"/>
                <w:szCs w:val="18"/>
                <w:u w:val="none"/>
              </w:rPr>
            </w:pP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EF19">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专业供应商评价</w:t>
            </w:r>
          </w:p>
        </w:tc>
      </w:tr>
      <w:tr w14:paraId="2ED61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76" w:type="dxa"/>
            <w:vMerge w:val="continue"/>
            <w:tcBorders>
              <w:left w:val="single" w:color="000000" w:sz="4" w:space="0"/>
              <w:right w:val="single" w:color="000000" w:sz="4" w:space="0"/>
            </w:tcBorders>
            <w:shd w:val="clear" w:color="auto" w:fill="auto"/>
            <w:vAlign w:val="center"/>
          </w:tcPr>
          <w:p w14:paraId="3DEEE891">
            <w:pPr>
              <w:jc w:val="center"/>
              <w:rPr>
                <w:rFonts w:hint="eastAsia" w:ascii="宋体" w:hAnsi="宋体" w:eastAsia="宋体" w:cs="宋体"/>
                <w:i w:val="0"/>
                <w:iCs w:val="0"/>
                <w:color w:val="auto"/>
                <w:sz w:val="18"/>
                <w:szCs w:val="18"/>
                <w:u w:val="none"/>
              </w:rPr>
            </w:pPr>
          </w:p>
        </w:tc>
        <w:tc>
          <w:tcPr>
            <w:tcW w:w="2010" w:type="dxa"/>
            <w:vMerge w:val="restart"/>
            <w:tcBorders>
              <w:top w:val="single" w:color="000000" w:sz="4" w:space="0"/>
              <w:left w:val="single" w:color="000000" w:sz="4" w:space="0"/>
              <w:right w:val="single" w:color="000000" w:sz="4" w:space="0"/>
            </w:tcBorders>
            <w:shd w:val="clear" w:color="auto" w:fill="auto"/>
            <w:vAlign w:val="center"/>
          </w:tcPr>
          <w:p w14:paraId="7E75889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服务档案</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6001A">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档案内容</w:t>
            </w:r>
          </w:p>
        </w:tc>
      </w:tr>
      <w:tr w14:paraId="120A7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76" w:type="dxa"/>
            <w:vMerge w:val="continue"/>
            <w:tcBorders>
              <w:left w:val="single" w:color="000000" w:sz="4" w:space="0"/>
              <w:bottom w:val="single" w:color="000000" w:sz="4" w:space="0"/>
              <w:right w:val="single" w:color="000000" w:sz="4" w:space="0"/>
            </w:tcBorders>
            <w:shd w:val="clear" w:color="auto" w:fill="auto"/>
            <w:vAlign w:val="center"/>
          </w:tcPr>
          <w:p w14:paraId="50BBD254">
            <w:pPr>
              <w:jc w:val="center"/>
              <w:rPr>
                <w:rFonts w:hint="eastAsia" w:ascii="宋体" w:hAnsi="宋体" w:eastAsia="宋体" w:cs="宋体"/>
                <w:i w:val="0"/>
                <w:iCs w:val="0"/>
                <w:color w:val="auto"/>
                <w:sz w:val="18"/>
                <w:szCs w:val="18"/>
                <w:u w:val="none"/>
              </w:rPr>
            </w:pPr>
          </w:p>
        </w:tc>
        <w:tc>
          <w:tcPr>
            <w:tcW w:w="2010" w:type="dxa"/>
            <w:vMerge w:val="continue"/>
            <w:tcBorders>
              <w:left w:val="single" w:color="000000" w:sz="4" w:space="0"/>
              <w:bottom w:val="single" w:color="000000" w:sz="4" w:space="0"/>
              <w:right w:val="single" w:color="000000" w:sz="4" w:space="0"/>
            </w:tcBorders>
            <w:shd w:val="clear" w:color="auto" w:fill="auto"/>
            <w:vAlign w:val="center"/>
          </w:tcPr>
          <w:p w14:paraId="1BB7AE5B">
            <w:pPr>
              <w:jc w:val="center"/>
              <w:rPr>
                <w:rFonts w:hint="eastAsia" w:ascii="宋体" w:hAnsi="宋体" w:eastAsia="宋体" w:cs="宋体"/>
                <w:i w:val="0"/>
                <w:iCs w:val="0"/>
                <w:color w:val="auto"/>
                <w:sz w:val="18"/>
                <w:szCs w:val="18"/>
                <w:u w:val="none"/>
              </w:rPr>
            </w:pP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5A928">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档案管理</w:t>
            </w:r>
          </w:p>
        </w:tc>
      </w:tr>
      <w:tr w14:paraId="528AF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76" w:type="dxa"/>
            <w:vMerge w:val="restart"/>
            <w:tcBorders>
              <w:top w:val="single" w:color="000000" w:sz="4" w:space="0"/>
              <w:left w:val="single" w:color="000000" w:sz="4" w:space="0"/>
              <w:right w:val="single" w:color="000000" w:sz="4" w:space="0"/>
            </w:tcBorders>
            <w:shd w:val="clear" w:color="auto" w:fill="auto"/>
            <w:vAlign w:val="center"/>
          </w:tcPr>
          <w:p w14:paraId="18EBB60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服务过程</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EB5C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合规管理</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058FE">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服务合同</w:t>
            </w:r>
          </w:p>
        </w:tc>
      </w:tr>
      <w:tr w14:paraId="1F731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76" w:type="dxa"/>
            <w:vMerge w:val="continue"/>
            <w:tcBorders>
              <w:left w:val="single" w:color="000000" w:sz="4" w:space="0"/>
              <w:right w:val="single" w:color="000000" w:sz="4" w:space="0"/>
            </w:tcBorders>
            <w:shd w:val="clear" w:color="auto" w:fill="auto"/>
            <w:vAlign w:val="center"/>
          </w:tcPr>
          <w:p w14:paraId="13A88CBB">
            <w:pPr>
              <w:jc w:val="center"/>
              <w:rPr>
                <w:rFonts w:hint="eastAsia" w:ascii="宋体" w:hAnsi="宋体" w:eastAsia="宋体" w:cs="宋体"/>
                <w:i w:val="0"/>
                <w:iCs w:val="0"/>
                <w:color w:val="auto"/>
                <w:sz w:val="18"/>
                <w:szCs w:val="18"/>
                <w:u w:val="none"/>
              </w:rPr>
            </w:pPr>
          </w:p>
        </w:tc>
        <w:tc>
          <w:tcPr>
            <w:tcW w:w="2010" w:type="dxa"/>
            <w:vMerge w:val="restart"/>
            <w:tcBorders>
              <w:top w:val="single" w:color="000000" w:sz="4" w:space="0"/>
              <w:left w:val="single" w:color="000000" w:sz="4" w:space="0"/>
              <w:right w:val="single" w:color="000000" w:sz="4" w:space="0"/>
            </w:tcBorders>
            <w:shd w:val="clear" w:color="auto" w:fill="auto"/>
            <w:vAlign w:val="center"/>
          </w:tcPr>
          <w:p w14:paraId="5D69F41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服务需求</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DD6C0">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合同需求识别</w:t>
            </w:r>
          </w:p>
        </w:tc>
      </w:tr>
      <w:tr w14:paraId="74E11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76" w:type="dxa"/>
            <w:vMerge w:val="continue"/>
            <w:tcBorders>
              <w:left w:val="single" w:color="000000" w:sz="4" w:space="0"/>
              <w:right w:val="single" w:color="000000" w:sz="4" w:space="0"/>
            </w:tcBorders>
            <w:shd w:val="clear" w:color="auto" w:fill="auto"/>
            <w:vAlign w:val="center"/>
          </w:tcPr>
          <w:p w14:paraId="0F9C3852">
            <w:pPr>
              <w:jc w:val="center"/>
              <w:rPr>
                <w:rFonts w:hint="eastAsia" w:ascii="宋体" w:hAnsi="宋体" w:eastAsia="宋体" w:cs="宋体"/>
                <w:i w:val="0"/>
                <w:iCs w:val="0"/>
                <w:color w:val="auto"/>
                <w:sz w:val="18"/>
                <w:szCs w:val="18"/>
                <w:u w:val="none"/>
              </w:rPr>
            </w:pPr>
          </w:p>
        </w:tc>
        <w:tc>
          <w:tcPr>
            <w:tcW w:w="2010" w:type="dxa"/>
            <w:vMerge w:val="continue"/>
            <w:tcBorders>
              <w:left w:val="single" w:color="000000" w:sz="4" w:space="0"/>
              <w:bottom w:val="single" w:color="000000" w:sz="4" w:space="0"/>
              <w:right w:val="single" w:color="000000" w:sz="4" w:space="0"/>
            </w:tcBorders>
            <w:shd w:val="clear" w:color="auto" w:fill="auto"/>
            <w:vAlign w:val="center"/>
          </w:tcPr>
          <w:p w14:paraId="772433B4">
            <w:pPr>
              <w:jc w:val="center"/>
              <w:rPr>
                <w:rFonts w:hint="eastAsia" w:ascii="宋体" w:hAnsi="宋体" w:eastAsia="宋体" w:cs="宋体"/>
                <w:i w:val="0"/>
                <w:iCs w:val="0"/>
                <w:color w:val="auto"/>
                <w:sz w:val="18"/>
                <w:szCs w:val="18"/>
                <w:u w:val="none"/>
              </w:rPr>
            </w:pP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7EA56">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期望需求识别</w:t>
            </w:r>
          </w:p>
        </w:tc>
      </w:tr>
      <w:tr w14:paraId="6B376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276" w:type="dxa"/>
            <w:vMerge w:val="continue"/>
            <w:tcBorders>
              <w:left w:val="single" w:color="000000" w:sz="4" w:space="0"/>
              <w:right w:val="single" w:color="000000" w:sz="4" w:space="0"/>
            </w:tcBorders>
            <w:shd w:val="clear" w:color="auto" w:fill="auto"/>
            <w:vAlign w:val="center"/>
          </w:tcPr>
          <w:p w14:paraId="73A3AF29">
            <w:pPr>
              <w:jc w:val="center"/>
              <w:rPr>
                <w:rFonts w:hint="eastAsia" w:ascii="宋体" w:hAnsi="宋体" w:eastAsia="宋体" w:cs="宋体"/>
                <w:i w:val="0"/>
                <w:iCs w:val="0"/>
                <w:color w:val="auto"/>
                <w:sz w:val="18"/>
                <w:szCs w:val="18"/>
                <w:u w:val="none"/>
              </w:rPr>
            </w:pPr>
          </w:p>
        </w:tc>
        <w:tc>
          <w:tcPr>
            <w:tcW w:w="2010" w:type="dxa"/>
            <w:vMerge w:val="restart"/>
            <w:tcBorders>
              <w:top w:val="single" w:color="000000" w:sz="4" w:space="0"/>
              <w:left w:val="single" w:color="000000" w:sz="4" w:space="0"/>
              <w:right w:val="single" w:color="000000" w:sz="4" w:space="0"/>
            </w:tcBorders>
            <w:shd w:val="clear" w:color="auto" w:fill="auto"/>
            <w:vAlign w:val="center"/>
          </w:tcPr>
          <w:p w14:paraId="61354D0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服务信息及沟通</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19E8">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信息公示管理</w:t>
            </w:r>
          </w:p>
        </w:tc>
      </w:tr>
      <w:tr w14:paraId="6B2A6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76" w:type="dxa"/>
            <w:vMerge w:val="continue"/>
            <w:tcBorders>
              <w:left w:val="single" w:color="000000" w:sz="4" w:space="0"/>
              <w:right w:val="single" w:color="000000" w:sz="4" w:space="0"/>
            </w:tcBorders>
            <w:shd w:val="clear" w:color="auto" w:fill="auto"/>
            <w:vAlign w:val="center"/>
          </w:tcPr>
          <w:p w14:paraId="489BA306">
            <w:pPr>
              <w:jc w:val="center"/>
              <w:rPr>
                <w:rFonts w:hint="eastAsia" w:ascii="宋体" w:hAnsi="宋体" w:eastAsia="宋体" w:cs="宋体"/>
                <w:i w:val="0"/>
                <w:iCs w:val="0"/>
                <w:color w:val="auto"/>
                <w:sz w:val="18"/>
                <w:szCs w:val="18"/>
                <w:u w:val="none"/>
              </w:rPr>
            </w:pPr>
          </w:p>
        </w:tc>
        <w:tc>
          <w:tcPr>
            <w:tcW w:w="2010" w:type="dxa"/>
            <w:vMerge w:val="continue"/>
            <w:tcBorders>
              <w:left w:val="single" w:color="000000" w:sz="4" w:space="0"/>
              <w:bottom w:val="single" w:color="000000" w:sz="4" w:space="0"/>
              <w:right w:val="single" w:color="000000" w:sz="4" w:space="0"/>
            </w:tcBorders>
            <w:shd w:val="clear" w:color="auto" w:fill="auto"/>
            <w:vAlign w:val="center"/>
          </w:tcPr>
          <w:p w14:paraId="1AF1FEDB">
            <w:pPr>
              <w:jc w:val="center"/>
              <w:rPr>
                <w:rFonts w:hint="eastAsia" w:ascii="宋体" w:hAnsi="宋体" w:eastAsia="宋体" w:cs="宋体"/>
                <w:i w:val="0"/>
                <w:iCs w:val="0"/>
                <w:color w:val="auto"/>
                <w:sz w:val="18"/>
                <w:szCs w:val="18"/>
                <w:u w:val="none"/>
              </w:rPr>
            </w:pP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1086B">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外联管理</w:t>
            </w:r>
          </w:p>
        </w:tc>
      </w:tr>
      <w:tr w14:paraId="60BFA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76" w:type="dxa"/>
            <w:vMerge w:val="continue"/>
            <w:tcBorders>
              <w:left w:val="single" w:color="000000" w:sz="4" w:space="0"/>
              <w:right w:val="single" w:color="000000" w:sz="4" w:space="0"/>
            </w:tcBorders>
            <w:shd w:val="clear" w:color="auto" w:fill="auto"/>
            <w:vAlign w:val="center"/>
          </w:tcPr>
          <w:p w14:paraId="3F5B4B09">
            <w:pPr>
              <w:jc w:val="center"/>
              <w:rPr>
                <w:rFonts w:hint="eastAsia" w:ascii="宋体" w:hAnsi="宋体" w:eastAsia="宋体" w:cs="宋体"/>
                <w:i w:val="0"/>
                <w:iCs w:val="0"/>
                <w:color w:val="auto"/>
                <w:sz w:val="18"/>
                <w:szCs w:val="18"/>
                <w:u w:val="none"/>
              </w:rPr>
            </w:pPr>
          </w:p>
        </w:tc>
        <w:tc>
          <w:tcPr>
            <w:tcW w:w="2010" w:type="dxa"/>
            <w:vMerge w:val="restart"/>
            <w:tcBorders>
              <w:top w:val="single" w:color="000000" w:sz="4" w:space="0"/>
              <w:left w:val="single" w:color="000000" w:sz="4" w:space="0"/>
              <w:right w:val="single" w:color="000000" w:sz="4" w:space="0"/>
            </w:tcBorders>
            <w:shd w:val="clear" w:color="auto" w:fill="auto"/>
            <w:vAlign w:val="center"/>
          </w:tcPr>
          <w:p w14:paraId="2EE71F1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客户服务</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15CCC">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客户沟通</w:t>
            </w:r>
          </w:p>
        </w:tc>
      </w:tr>
      <w:tr w14:paraId="5BC2A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76" w:type="dxa"/>
            <w:vMerge w:val="continue"/>
            <w:tcBorders>
              <w:left w:val="single" w:color="000000" w:sz="4" w:space="0"/>
              <w:right w:val="single" w:color="000000" w:sz="4" w:space="0"/>
            </w:tcBorders>
            <w:shd w:val="clear" w:color="auto" w:fill="auto"/>
            <w:vAlign w:val="center"/>
          </w:tcPr>
          <w:p w14:paraId="02F09727">
            <w:pPr>
              <w:jc w:val="center"/>
              <w:rPr>
                <w:rFonts w:hint="eastAsia" w:ascii="宋体" w:hAnsi="宋体" w:eastAsia="宋体" w:cs="宋体"/>
                <w:i w:val="0"/>
                <w:iCs w:val="0"/>
                <w:color w:val="auto"/>
                <w:sz w:val="18"/>
                <w:szCs w:val="18"/>
                <w:u w:val="none"/>
              </w:rPr>
            </w:pPr>
          </w:p>
        </w:tc>
        <w:tc>
          <w:tcPr>
            <w:tcW w:w="2010" w:type="dxa"/>
            <w:vMerge w:val="continue"/>
            <w:tcBorders>
              <w:left w:val="single" w:color="000000" w:sz="4" w:space="0"/>
              <w:right w:val="single" w:color="000000" w:sz="4" w:space="0"/>
            </w:tcBorders>
            <w:shd w:val="clear" w:color="auto" w:fill="auto"/>
            <w:vAlign w:val="center"/>
          </w:tcPr>
          <w:p w14:paraId="1D98C9E4">
            <w:pPr>
              <w:jc w:val="center"/>
              <w:rPr>
                <w:rFonts w:hint="eastAsia" w:ascii="宋体" w:hAnsi="宋体" w:eastAsia="宋体" w:cs="宋体"/>
                <w:i w:val="0"/>
                <w:iCs w:val="0"/>
                <w:color w:val="auto"/>
                <w:sz w:val="18"/>
                <w:szCs w:val="18"/>
                <w:u w:val="none"/>
              </w:rPr>
            </w:pP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EF59D">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入驻迁出服务</w:t>
            </w:r>
          </w:p>
        </w:tc>
      </w:tr>
      <w:tr w14:paraId="696DE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76" w:type="dxa"/>
            <w:vMerge w:val="continue"/>
            <w:tcBorders>
              <w:left w:val="single" w:color="000000" w:sz="4" w:space="0"/>
              <w:right w:val="single" w:color="000000" w:sz="4" w:space="0"/>
            </w:tcBorders>
            <w:shd w:val="clear" w:color="auto" w:fill="auto"/>
            <w:vAlign w:val="center"/>
          </w:tcPr>
          <w:p w14:paraId="2E869567">
            <w:pPr>
              <w:jc w:val="center"/>
              <w:rPr>
                <w:rFonts w:hint="eastAsia" w:ascii="宋体" w:hAnsi="宋体" w:eastAsia="宋体" w:cs="宋体"/>
                <w:i w:val="0"/>
                <w:iCs w:val="0"/>
                <w:color w:val="auto"/>
                <w:sz w:val="18"/>
                <w:szCs w:val="18"/>
                <w:u w:val="none"/>
              </w:rPr>
            </w:pPr>
          </w:p>
        </w:tc>
        <w:tc>
          <w:tcPr>
            <w:tcW w:w="2010" w:type="dxa"/>
            <w:vMerge w:val="continue"/>
            <w:tcBorders>
              <w:left w:val="single" w:color="000000" w:sz="4" w:space="0"/>
              <w:right w:val="single" w:color="000000" w:sz="4" w:space="0"/>
            </w:tcBorders>
            <w:shd w:val="clear" w:color="auto" w:fill="auto"/>
            <w:vAlign w:val="center"/>
          </w:tcPr>
          <w:p w14:paraId="060DC90D">
            <w:pPr>
              <w:jc w:val="center"/>
              <w:rPr>
                <w:rFonts w:hint="eastAsia" w:ascii="宋体" w:hAnsi="宋体" w:eastAsia="宋体" w:cs="宋体"/>
                <w:i w:val="0"/>
                <w:iCs w:val="0"/>
                <w:color w:val="auto"/>
                <w:sz w:val="18"/>
                <w:szCs w:val="18"/>
                <w:u w:val="none"/>
              </w:rPr>
            </w:pP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F907">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接待管理</w:t>
            </w:r>
          </w:p>
        </w:tc>
      </w:tr>
      <w:tr w14:paraId="5912D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76" w:type="dxa"/>
            <w:vMerge w:val="continue"/>
            <w:tcBorders>
              <w:left w:val="single" w:color="000000" w:sz="4" w:space="0"/>
              <w:right w:val="single" w:color="000000" w:sz="4" w:space="0"/>
            </w:tcBorders>
            <w:shd w:val="clear" w:color="auto" w:fill="auto"/>
            <w:vAlign w:val="center"/>
          </w:tcPr>
          <w:p w14:paraId="2733AC2C">
            <w:pPr>
              <w:jc w:val="center"/>
              <w:rPr>
                <w:rFonts w:hint="eastAsia" w:ascii="宋体" w:hAnsi="宋体" w:eastAsia="宋体" w:cs="宋体"/>
                <w:i w:val="0"/>
                <w:iCs w:val="0"/>
                <w:color w:val="auto"/>
                <w:sz w:val="18"/>
                <w:szCs w:val="18"/>
                <w:u w:val="none"/>
              </w:rPr>
            </w:pPr>
          </w:p>
        </w:tc>
        <w:tc>
          <w:tcPr>
            <w:tcW w:w="2010" w:type="dxa"/>
            <w:vMerge w:val="continue"/>
            <w:tcBorders>
              <w:left w:val="single" w:color="000000" w:sz="4" w:space="0"/>
              <w:right w:val="single" w:color="000000" w:sz="4" w:space="0"/>
            </w:tcBorders>
            <w:shd w:val="clear" w:color="auto" w:fill="auto"/>
            <w:vAlign w:val="center"/>
          </w:tcPr>
          <w:p w14:paraId="1C74731A">
            <w:pPr>
              <w:jc w:val="center"/>
              <w:rPr>
                <w:rFonts w:hint="eastAsia" w:ascii="宋体" w:hAnsi="宋体" w:eastAsia="宋体" w:cs="宋体"/>
                <w:i w:val="0"/>
                <w:iCs w:val="0"/>
                <w:color w:val="auto"/>
                <w:sz w:val="18"/>
                <w:szCs w:val="18"/>
                <w:u w:val="none"/>
              </w:rPr>
            </w:pP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A9AF">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报事报修</w:t>
            </w:r>
          </w:p>
        </w:tc>
      </w:tr>
      <w:tr w14:paraId="36E77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76" w:type="dxa"/>
            <w:vMerge w:val="continue"/>
            <w:tcBorders>
              <w:left w:val="single" w:color="000000" w:sz="4" w:space="0"/>
              <w:right w:val="single" w:color="000000" w:sz="4" w:space="0"/>
            </w:tcBorders>
            <w:shd w:val="clear" w:color="auto" w:fill="auto"/>
            <w:vAlign w:val="center"/>
          </w:tcPr>
          <w:p w14:paraId="6EB995A0">
            <w:pPr>
              <w:jc w:val="center"/>
              <w:rPr>
                <w:rFonts w:hint="eastAsia" w:ascii="宋体" w:hAnsi="宋体" w:eastAsia="宋体" w:cs="宋体"/>
                <w:i w:val="0"/>
                <w:iCs w:val="0"/>
                <w:color w:val="auto"/>
                <w:sz w:val="18"/>
                <w:szCs w:val="18"/>
                <w:u w:val="none"/>
              </w:rPr>
            </w:pPr>
          </w:p>
        </w:tc>
        <w:tc>
          <w:tcPr>
            <w:tcW w:w="2010" w:type="dxa"/>
            <w:vMerge w:val="continue"/>
            <w:tcBorders>
              <w:left w:val="single" w:color="000000" w:sz="4" w:space="0"/>
              <w:right w:val="single" w:color="000000" w:sz="4" w:space="0"/>
            </w:tcBorders>
            <w:shd w:val="clear" w:color="auto" w:fill="auto"/>
            <w:vAlign w:val="center"/>
          </w:tcPr>
          <w:p w14:paraId="179D4BC1">
            <w:pPr>
              <w:jc w:val="center"/>
              <w:rPr>
                <w:rFonts w:hint="eastAsia" w:ascii="宋体" w:hAnsi="宋体" w:eastAsia="宋体" w:cs="宋体"/>
                <w:i w:val="0"/>
                <w:iCs w:val="0"/>
                <w:color w:val="auto"/>
                <w:sz w:val="18"/>
                <w:szCs w:val="18"/>
                <w:u w:val="none"/>
              </w:rPr>
            </w:pP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1E3E2">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装饰装修管理</w:t>
            </w:r>
          </w:p>
        </w:tc>
      </w:tr>
      <w:tr w14:paraId="32C58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76" w:type="dxa"/>
            <w:vMerge w:val="continue"/>
            <w:tcBorders>
              <w:left w:val="single" w:color="000000" w:sz="4" w:space="0"/>
              <w:right w:val="single" w:color="000000" w:sz="4" w:space="0"/>
            </w:tcBorders>
            <w:shd w:val="clear" w:color="auto" w:fill="auto"/>
            <w:vAlign w:val="center"/>
          </w:tcPr>
          <w:p w14:paraId="60315973">
            <w:pPr>
              <w:jc w:val="center"/>
              <w:rPr>
                <w:rFonts w:hint="eastAsia" w:ascii="宋体" w:hAnsi="宋体" w:eastAsia="宋体" w:cs="宋体"/>
                <w:i w:val="0"/>
                <w:iCs w:val="0"/>
                <w:color w:val="auto"/>
                <w:sz w:val="18"/>
                <w:szCs w:val="18"/>
                <w:u w:val="none"/>
              </w:rPr>
            </w:pPr>
          </w:p>
        </w:tc>
        <w:tc>
          <w:tcPr>
            <w:tcW w:w="2010" w:type="dxa"/>
            <w:vMerge w:val="continue"/>
            <w:tcBorders>
              <w:left w:val="single" w:color="000000" w:sz="4" w:space="0"/>
              <w:right w:val="single" w:color="000000" w:sz="4" w:space="0"/>
            </w:tcBorders>
            <w:shd w:val="clear" w:color="auto" w:fill="auto"/>
            <w:vAlign w:val="center"/>
          </w:tcPr>
          <w:p w14:paraId="2939D4BF">
            <w:pPr>
              <w:jc w:val="center"/>
              <w:rPr>
                <w:rFonts w:hint="eastAsia" w:ascii="宋体" w:hAnsi="宋体" w:eastAsia="宋体" w:cs="宋体"/>
                <w:i w:val="0"/>
                <w:iCs w:val="0"/>
                <w:color w:val="auto"/>
                <w:sz w:val="18"/>
                <w:szCs w:val="18"/>
                <w:u w:val="none"/>
              </w:rPr>
            </w:pP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7094A">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商务文化活动</w:t>
            </w:r>
          </w:p>
        </w:tc>
      </w:tr>
      <w:tr w14:paraId="2755D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76" w:type="dxa"/>
            <w:vMerge w:val="continue"/>
            <w:tcBorders>
              <w:left w:val="single" w:color="000000" w:sz="4" w:space="0"/>
              <w:right w:val="single" w:color="000000" w:sz="4" w:space="0"/>
            </w:tcBorders>
            <w:shd w:val="clear" w:color="auto" w:fill="auto"/>
            <w:vAlign w:val="center"/>
          </w:tcPr>
          <w:p w14:paraId="1DFB5C8F">
            <w:pPr>
              <w:jc w:val="center"/>
              <w:rPr>
                <w:rFonts w:hint="eastAsia" w:ascii="宋体" w:hAnsi="宋体" w:eastAsia="宋体" w:cs="宋体"/>
                <w:i w:val="0"/>
                <w:iCs w:val="0"/>
                <w:color w:val="auto"/>
                <w:sz w:val="18"/>
                <w:szCs w:val="18"/>
                <w:u w:val="none"/>
              </w:rPr>
            </w:pPr>
          </w:p>
        </w:tc>
        <w:tc>
          <w:tcPr>
            <w:tcW w:w="2010" w:type="dxa"/>
            <w:vMerge w:val="continue"/>
            <w:tcBorders>
              <w:left w:val="single" w:color="000000" w:sz="4" w:space="0"/>
              <w:bottom w:val="single" w:color="000000" w:sz="4" w:space="0"/>
              <w:right w:val="single" w:color="000000" w:sz="4" w:space="0"/>
            </w:tcBorders>
            <w:shd w:val="clear" w:color="auto" w:fill="auto"/>
            <w:vAlign w:val="center"/>
          </w:tcPr>
          <w:p w14:paraId="700F395C">
            <w:pPr>
              <w:jc w:val="center"/>
              <w:rPr>
                <w:rFonts w:hint="eastAsia" w:ascii="宋体" w:hAnsi="宋体" w:eastAsia="宋体" w:cs="宋体"/>
                <w:i w:val="0"/>
                <w:iCs w:val="0"/>
                <w:color w:val="auto"/>
                <w:sz w:val="18"/>
                <w:szCs w:val="18"/>
                <w:u w:val="none"/>
              </w:rPr>
            </w:pP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7196F">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园区便民服务</w:t>
            </w:r>
          </w:p>
        </w:tc>
      </w:tr>
      <w:tr w14:paraId="6BE74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276" w:type="dxa"/>
            <w:vMerge w:val="continue"/>
            <w:tcBorders>
              <w:left w:val="single" w:color="000000" w:sz="4" w:space="0"/>
              <w:right w:val="single" w:color="000000" w:sz="4" w:space="0"/>
            </w:tcBorders>
            <w:shd w:val="clear" w:color="auto" w:fill="auto"/>
            <w:vAlign w:val="center"/>
          </w:tcPr>
          <w:p w14:paraId="41DEA902">
            <w:pPr>
              <w:jc w:val="center"/>
              <w:rPr>
                <w:rFonts w:hint="eastAsia" w:ascii="宋体" w:hAnsi="宋体" w:eastAsia="宋体" w:cs="宋体"/>
                <w:i w:val="0"/>
                <w:iCs w:val="0"/>
                <w:color w:val="auto"/>
                <w:sz w:val="18"/>
                <w:szCs w:val="18"/>
                <w:u w:val="none"/>
              </w:rPr>
            </w:pPr>
          </w:p>
        </w:tc>
        <w:tc>
          <w:tcPr>
            <w:tcW w:w="2010" w:type="dxa"/>
            <w:vMerge w:val="restart"/>
            <w:tcBorders>
              <w:top w:val="single" w:color="000000" w:sz="4" w:space="0"/>
              <w:left w:val="single" w:color="000000" w:sz="4" w:space="0"/>
              <w:right w:val="single" w:color="000000" w:sz="4" w:space="0"/>
            </w:tcBorders>
            <w:shd w:val="clear" w:color="auto" w:fill="auto"/>
            <w:vAlign w:val="center"/>
          </w:tcPr>
          <w:p w14:paraId="4F0B3D8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房屋及设施设备管理</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EB2E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房屋管理</w:t>
            </w:r>
          </w:p>
        </w:tc>
      </w:tr>
      <w:tr w14:paraId="5C38C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 w:hRule="atLeast"/>
        </w:trPr>
        <w:tc>
          <w:tcPr>
            <w:tcW w:w="1276" w:type="dxa"/>
            <w:vMerge w:val="continue"/>
            <w:tcBorders>
              <w:left w:val="single" w:color="000000" w:sz="4" w:space="0"/>
              <w:right w:val="single" w:color="000000" w:sz="4" w:space="0"/>
            </w:tcBorders>
            <w:shd w:val="clear" w:color="auto" w:fill="auto"/>
            <w:vAlign w:val="center"/>
          </w:tcPr>
          <w:p w14:paraId="6F8AE39E">
            <w:pPr>
              <w:jc w:val="center"/>
              <w:rPr>
                <w:rFonts w:hint="eastAsia" w:ascii="宋体" w:hAnsi="宋体" w:eastAsia="宋体" w:cs="宋体"/>
                <w:i w:val="0"/>
                <w:iCs w:val="0"/>
                <w:color w:val="auto"/>
                <w:sz w:val="18"/>
                <w:szCs w:val="18"/>
                <w:u w:val="none"/>
              </w:rPr>
            </w:pPr>
          </w:p>
        </w:tc>
        <w:tc>
          <w:tcPr>
            <w:tcW w:w="2010" w:type="dxa"/>
            <w:vMerge w:val="continue"/>
            <w:tcBorders>
              <w:left w:val="single" w:color="000000" w:sz="4" w:space="0"/>
              <w:right w:val="single" w:color="000000" w:sz="4" w:space="0"/>
            </w:tcBorders>
            <w:shd w:val="clear" w:color="auto" w:fill="auto"/>
            <w:vAlign w:val="center"/>
          </w:tcPr>
          <w:p w14:paraId="70D9845F">
            <w:pPr>
              <w:jc w:val="center"/>
              <w:rPr>
                <w:rFonts w:hint="eastAsia" w:ascii="宋体" w:hAnsi="宋体" w:eastAsia="宋体" w:cs="宋体"/>
                <w:i w:val="0"/>
                <w:iCs w:val="0"/>
                <w:color w:val="auto"/>
                <w:sz w:val="18"/>
                <w:szCs w:val="18"/>
                <w:u w:val="none"/>
              </w:rPr>
            </w:pPr>
          </w:p>
        </w:tc>
        <w:tc>
          <w:tcPr>
            <w:tcW w:w="5640" w:type="dxa"/>
            <w:tcBorders>
              <w:top w:val="single" w:color="000000" w:sz="4" w:space="0"/>
              <w:left w:val="single" w:color="000000" w:sz="4" w:space="0"/>
              <w:right w:val="single" w:color="000000" w:sz="4" w:space="0"/>
            </w:tcBorders>
            <w:shd w:val="clear" w:color="auto" w:fill="auto"/>
            <w:vAlign w:val="center"/>
          </w:tcPr>
          <w:p w14:paraId="4ED3989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公共设施管理</w:t>
            </w:r>
          </w:p>
        </w:tc>
      </w:tr>
      <w:tr w14:paraId="7AFFF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276" w:type="dxa"/>
            <w:vMerge w:val="continue"/>
            <w:tcBorders>
              <w:left w:val="single" w:color="000000" w:sz="4" w:space="0"/>
              <w:right w:val="single" w:color="000000" w:sz="4" w:space="0"/>
            </w:tcBorders>
            <w:shd w:val="clear" w:color="auto" w:fill="auto"/>
            <w:vAlign w:val="center"/>
          </w:tcPr>
          <w:p w14:paraId="5A9EDCDD">
            <w:pPr>
              <w:jc w:val="center"/>
              <w:rPr>
                <w:rFonts w:hint="eastAsia" w:ascii="宋体" w:hAnsi="宋体" w:eastAsia="宋体" w:cs="宋体"/>
                <w:i w:val="0"/>
                <w:iCs w:val="0"/>
                <w:color w:val="auto"/>
                <w:sz w:val="18"/>
                <w:szCs w:val="18"/>
                <w:u w:val="none"/>
              </w:rPr>
            </w:pPr>
          </w:p>
        </w:tc>
        <w:tc>
          <w:tcPr>
            <w:tcW w:w="2010" w:type="dxa"/>
            <w:vMerge w:val="continue"/>
            <w:tcBorders>
              <w:left w:val="single" w:color="000000" w:sz="4" w:space="0"/>
              <w:right w:val="single" w:color="000000" w:sz="4" w:space="0"/>
            </w:tcBorders>
            <w:shd w:val="clear" w:color="auto" w:fill="auto"/>
            <w:vAlign w:val="center"/>
          </w:tcPr>
          <w:p w14:paraId="5CAB9220">
            <w:pPr>
              <w:jc w:val="center"/>
              <w:rPr>
                <w:rFonts w:hint="eastAsia" w:ascii="宋体" w:hAnsi="宋体" w:eastAsia="宋体" w:cs="宋体"/>
                <w:i w:val="0"/>
                <w:iCs w:val="0"/>
                <w:color w:val="auto"/>
                <w:sz w:val="18"/>
                <w:szCs w:val="18"/>
                <w:u w:val="none"/>
              </w:rPr>
            </w:pPr>
          </w:p>
        </w:tc>
        <w:tc>
          <w:tcPr>
            <w:tcW w:w="5640" w:type="dxa"/>
            <w:tcBorders>
              <w:top w:val="single" w:color="000000" w:sz="4" w:space="0"/>
              <w:left w:val="single" w:color="000000" w:sz="4" w:space="0"/>
              <w:right w:val="single" w:color="000000" w:sz="4" w:space="0"/>
            </w:tcBorders>
            <w:shd w:val="clear" w:color="auto" w:fill="auto"/>
            <w:vAlign w:val="center"/>
          </w:tcPr>
          <w:p w14:paraId="7D1BEC4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供配电系统</w:t>
            </w:r>
          </w:p>
        </w:tc>
      </w:tr>
      <w:tr w14:paraId="4B651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276" w:type="dxa"/>
            <w:vMerge w:val="continue"/>
            <w:tcBorders>
              <w:left w:val="single" w:color="000000" w:sz="4" w:space="0"/>
              <w:right w:val="single" w:color="000000" w:sz="4" w:space="0"/>
            </w:tcBorders>
            <w:shd w:val="clear" w:color="auto" w:fill="auto"/>
            <w:vAlign w:val="center"/>
          </w:tcPr>
          <w:p w14:paraId="3C8FB50D">
            <w:pPr>
              <w:jc w:val="center"/>
              <w:rPr>
                <w:rFonts w:hint="eastAsia" w:ascii="宋体" w:hAnsi="宋体" w:eastAsia="宋体" w:cs="宋体"/>
                <w:i w:val="0"/>
                <w:iCs w:val="0"/>
                <w:color w:val="auto"/>
                <w:sz w:val="18"/>
                <w:szCs w:val="18"/>
                <w:u w:val="none"/>
              </w:rPr>
            </w:pPr>
          </w:p>
        </w:tc>
        <w:tc>
          <w:tcPr>
            <w:tcW w:w="2010" w:type="dxa"/>
            <w:vMerge w:val="continue"/>
            <w:tcBorders>
              <w:left w:val="single" w:color="000000" w:sz="4" w:space="0"/>
              <w:right w:val="single" w:color="000000" w:sz="4" w:space="0"/>
            </w:tcBorders>
            <w:shd w:val="clear" w:color="auto" w:fill="auto"/>
            <w:vAlign w:val="center"/>
          </w:tcPr>
          <w:p w14:paraId="10484669">
            <w:pPr>
              <w:jc w:val="center"/>
              <w:rPr>
                <w:rFonts w:hint="eastAsia" w:ascii="宋体" w:hAnsi="宋体" w:eastAsia="宋体" w:cs="宋体"/>
                <w:i w:val="0"/>
                <w:iCs w:val="0"/>
                <w:color w:val="auto"/>
                <w:sz w:val="18"/>
                <w:szCs w:val="18"/>
                <w:u w:val="none"/>
              </w:rPr>
            </w:pPr>
          </w:p>
        </w:tc>
        <w:tc>
          <w:tcPr>
            <w:tcW w:w="5640" w:type="dxa"/>
            <w:tcBorders>
              <w:top w:val="single" w:color="000000" w:sz="4" w:space="0"/>
              <w:left w:val="single" w:color="000000" w:sz="4" w:space="0"/>
              <w:right w:val="single" w:color="000000" w:sz="4" w:space="0"/>
            </w:tcBorders>
            <w:shd w:val="clear" w:color="auto" w:fill="auto"/>
            <w:vAlign w:val="center"/>
          </w:tcPr>
          <w:p w14:paraId="00E4B6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电梯系统</w:t>
            </w:r>
          </w:p>
        </w:tc>
      </w:tr>
      <w:tr w14:paraId="0FC39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276" w:type="dxa"/>
            <w:vMerge w:val="continue"/>
            <w:tcBorders>
              <w:left w:val="single" w:color="000000" w:sz="4" w:space="0"/>
              <w:right w:val="single" w:color="000000" w:sz="4" w:space="0"/>
            </w:tcBorders>
            <w:shd w:val="clear" w:color="auto" w:fill="auto"/>
            <w:vAlign w:val="center"/>
          </w:tcPr>
          <w:p w14:paraId="343E9E8B">
            <w:pPr>
              <w:jc w:val="center"/>
              <w:rPr>
                <w:rFonts w:hint="eastAsia" w:ascii="宋体" w:hAnsi="宋体" w:eastAsia="宋体" w:cs="宋体"/>
                <w:i w:val="0"/>
                <w:iCs w:val="0"/>
                <w:color w:val="auto"/>
                <w:sz w:val="18"/>
                <w:szCs w:val="18"/>
                <w:u w:val="none"/>
              </w:rPr>
            </w:pPr>
          </w:p>
        </w:tc>
        <w:tc>
          <w:tcPr>
            <w:tcW w:w="2010" w:type="dxa"/>
            <w:vMerge w:val="continue"/>
            <w:tcBorders>
              <w:left w:val="single" w:color="000000" w:sz="4" w:space="0"/>
              <w:right w:val="single" w:color="000000" w:sz="4" w:space="0"/>
            </w:tcBorders>
            <w:shd w:val="clear" w:color="auto" w:fill="auto"/>
            <w:vAlign w:val="center"/>
          </w:tcPr>
          <w:p w14:paraId="38B25AFE">
            <w:pPr>
              <w:jc w:val="center"/>
              <w:rPr>
                <w:rFonts w:hint="eastAsia" w:ascii="宋体" w:hAnsi="宋体" w:eastAsia="宋体" w:cs="宋体"/>
                <w:i w:val="0"/>
                <w:iCs w:val="0"/>
                <w:color w:val="auto"/>
                <w:sz w:val="18"/>
                <w:szCs w:val="18"/>
                <w:u w:val="none"/>
              </w:rPr>
            </w:pPr>
          </w:p>
        </w:tc>
        <w:tc>
          <w:tcPr>
            <w:tcW w:w="5640" w:type="dxa"/>
            <w:tcBorders>
              <w:top w:val="single" w:color="000000" w:sz="4" w:space="0"/>
              <w:left w:val="single" w:color="000000" w:sz="4" w:space="0"/>
              <w:right w:val="single" w:color="000000" w:sz="4" w:space="0"/>
            </w:tcBorders>
            <w:shd w:val="clear" w:color="auto" w:fill="auto"/>
            <w:vAlign w:val="center"/>
          </w:tcPr>
          <w:p w14:paraId="140CA7C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给排水系统</w:t>
            </w:r>
          </w:p>
        </w:tc>
      </w:tr>
      <w:tr w14:paraId="16957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276" w:type="dxa"/>
            <w:vMerge w:val="continue"/>
            <w:tcBorders>
              <w:left w:val="single" w:color="000000" w:sz="4" w:space="0"/>
              <w:right w:val="single" w:color="000000" w:sz="4" w:space="0"/>
            </w:tcBorders>
            <w:shd w:val="clear" w:color="auto" w:fill="auto"/>
            <w:vAlign w:val="center"/>
          </w:tcPr>
          <w:p w14:paraId="148ED2C7">
            <w:pPr>
              <w:jc w:val="center"/>
              <w:rPr>
                <w:rFonts w:hint="eastAsia" w:ascii="宋体" w:hAnsi="宋体" w:eastAsia="宋体" w:cs="宋体"/>
                <w:i w:val="0"/>
                <w:iCs w:val="0"/>
                <w:color w:val="auto"/>
                <w:sz w:val="18"/>
                <w:szCs w:val="18"/>
                <w:u w:val="none"/>
              </w:rPr>
            </w:pPr>
          </w:p>
        </w:tc>
        <w:tc>
          <w:tcPr>
            <w:tcW w:w="2010" w:type="dxa"/>
            <w:vMerge w:val="continue"/>
            <w:tcBorders>
              <w:left w:val="single" w:color="000000" w:sz="4" w:space="0"/>
              <w:right w:val="single" w:color="000000" w:sz="4" w:space="0"/>
            </w:tcBorders>
            <w:shd w:val="clear" w:color="auto" w:fill="auto"/>
            <w:vAlign w:val="center"/>
          </w:tcPr>
          <w:p w14:paraId="053E64D5">
            <w:pPr>
              <w:jc w:val="center"/>
              <w:rPr>
                <w:rFonts w:hint="eastAsia" w:ascii="宋体" w:hAnsi="宋体" w:eastAsia="宋体" w:cs="宋体"/>
                <w:i w:val="0"/>
                <w:iCs w:val="0"/>
                <w:color w:val="auto"/>
                <w:sz w:val="18"/>
                <w:szCs w:val="18"/>
                <w:u w:val="none"/>
              </w:rPr>
            </w:pPr>
          </w:p>
        </w:tc>
        <w:tc>
          <w:tcPr>
            <w:tcW w:w="5640" w:type="dxa"/>
            <w:tcBorders>
              <w:top w:val="single" w:color="000000" w:sz="4" w:space="0"/>
              <w:left w:val="single" w:color="000000" w:sz="4" w:space="0"/>
              <w:right w:val="single" w:color="000000" w:sz="4" w:space="0"/>
            </w:tcBorders>
            <w:shd w:val="clear" w:color="auto" w:fill="auto"/>
            <w:vAlign w:val="center"/>
          </w:tcPr>
          <w:p w14:paraId="5D820F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空调通风系统</w:t>
            </w:r>
          </w:p>
        </w:tc>
      </w:tr>
      <w:tr w14:paraId="03B55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6" w:type="dxa"/>
            <w:vMerge w:val="continue"/>
            <w:tcBorders>
              <w:left w:val="single" w:color="000000" w:sz="4" w:space="0"/>
              <w:right w:val="single" w:color="000000" w:sz="4" w:space="0"/>
            </w:tcBorders>
            <w:shd w:val="clear" w:color="auto" w:fill="auto"/>
            <w:vAlign w:val="center"/>
          </w:tcPr>
          <w:p w14:paraId="5BB46A25">
            <w:pPr>
              <w:jc w:val="center"/>
              <w:rPr>
                <w:rFonts w:hint="eastAsia" w:ascii="宋体" w:hAnsi="宋体" w:eastAsia="宋体" w:cs="宋体"/>
                <w:i w:val="0"/>
                <w:iCs w:val="0"/>
                <w:color w:val="auto"/>
                <w:sz w:val="18"/>
                <w:szCs w:val="18"/>
                <w:u w:val="none"/>
              </w:rPr>
            </w:pPr>
          </w:p>
        </w:tc>
        <w:tc>
          <w:tcPr>
            <w:tcW w:w="2010" w:type="dxa"/>
            <w:vMerge w:val="continue"/>
            <w:tcBorders>
              <w:left w:val="single" w:color="000000" w:sz="4" w:space="0"/>
              <w:right w:val="single" w:color="000000" w:sz="4" w:space="0"/>
            </w:tcBorders>
            <w:shd w:val="clear" w:color="auto" w:fill="auto"/>
            <w:vAlign w:val="center"/>
          </w:tcPr>
          <w:p w14:paraId="74AFF08A">
            <w:pPr>
              <w:jc w:val="center"/>
              <w:rPr>
                <w:rFonts w:hint="eastAsia" w:ascii="宋体" w:hAnsi="宋体" w:eastAsia="宋体" w:cs="宋体"/>
                <w:i w:val="0"/>
                <w:iCs w:val="0"/>
                <w:color w:val="auto"/>
                <w:sz w:val="18"/>
                <w:szCs w:val="18"/>
                <w:u w:val="none"/>
              </w:rPr>
            </w:pP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8DC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消防系统</w:t>
            </w:r>
          </w:p>
        </w:tc>
      </w:tr>
      <w:tr w14:paraId="1EFC0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 w:hRule="atLeast"/>
        </w:trPr>
        <w:tc>
          <w:tcPr>
            <w:tcW w:w="1276" w:type="dxa"/>
            <w:vMerge w:val="continue"/>
            <w:tcBorders>
              <w:left w:val="single" w:color="000000" w:sz="4" w:space="0"/>
              <w:right w:val="single" w:color="000000" w:sz="4" w:space="0"/>
            </w:tcBorders>
            <w:shd w:val="clear" w:color="auto" w:fill="auto"/>
            <w:vAlign w:val="center"/>
          </w:tcPr>
          <w:p w14:paraId="3B0CF1B6">
            <w:pPr>
              <w:jc w:val="center"/>
              <w:rPr>
                <w:rFonts w:hint="eastAsia" w:ascii="宋体" w:hAnsi="宋体" w:eastAsia="宋体" w:cs="宋体"/>
                <w:i w:val="0"/>
                <w:iCs w:val="0"/>
                <w:color w:val="auto"/>
                <w:sz w:val="18"/>
                <w:szCs w:val="18"/>
                <w:u w:val="none"/>
              </w:rPr>
            </w:pPr>
          </w:p>
        </w:tc>
        <w:tc>
          <w:tcPr>
            <w:tcW w:w="2010" w:type="dxa"/>
            <w:vMerge w:val="restart"/>
            <w:tcBorders>
              <w:top w:val="single" w:color="000000" w:sz="4" w:space="0"/>
              <w:left w:val="single" w:color="000000" w:sz="4" w:space="0"/>
              <w:right w:val="single" w:color="000000" w:sz="4" w:space="0"/>
            </w:tcBorders>
            <w:shd w:val="clear" w:color="auto" w:fill="auto"/>
            <w:vAlign w:val="center"/>
          </w:tcPr>
          <w:p w14:paraId="6F5E9F9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秩序维护与安全管理</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F7DAB">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出入管理</w:t>
            </w:r>
          </w:p>
        </w:tc>
      </w:tr>
      <w:tr w14:paraId="0CEE6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76" w:type="dxa"/>
            <w:vMerge w:val="continue"/>
            <w:tcBorders>
              <w:left w:val="single" w:color="000000" w:sz="4" w:space="0"/>
              <w:right w:val="single" w:color="000000" w:sz="4" w:space="0"/>
            </w:tcBorders>
            <w:shd w:val="clear" w:color="auto" w:fill="auto"/>
            <w:vAlign w:val="center"/>
          </w:tcPr>
          <w:p w14:paraId="196D5347">
            <w:pPr>
              <w:jc w:val="center"/>
              <w:rPr>
                <w:rFonts w:hint="eastAsia" w:ascii="宋体" w:hAnsi="宋体" w:eastAsia="宋体" w:cs="宋体"/>
                <w:i w:val="0"/>
                <w:iCs w:val="0"/>
                <w:color w:val="auto"/>
                <w:sz w:val="18"/>
                <w:szCs w:val="18"/>
                <w:u w:val="none"/>
              </w:rPr>
            </w:pPr>
          </w:p>
        </w:tc>
        <w:tc>
          <w:tcPr>
            <w:tcW w:w="2010" w:type="dxa"/>
            <w:vMerge w:val="continue"/>
            <w:tcBorders>
              <w:left w:val="single" w:color="000000" w:sz="4" w:space="0"/>
              <w:right w:val="single" w:color="000000" w:sz="4" w:space="0"/>
            </w:tcBorders>
            <w:shd w:val="clear" w:color="auto" w:fill="auto"/>
            <w:vAlign w:val="center"/>
          </w:tcPr>
          <w:p w14:paraId="0CB7EAE9">
            <w:pPr>
              <w:jc w:val="center"/>
              <w:rPr>
                <w:rFonts w:hint="eastAsia" w:ascii="宋体" w:hAnsi="宋体" w:eastAsia="宋体" w:cs="宋体"/>
                <w:i w:val="0"/>
                <w:iCs w:val="0"/>
                <w:color w:val="auto"/>
                <w:sz w:val="18"/>
                <w:szCs w:val="18"/>
                <w:u w:val="none"/>
              </w:rPr>
            </w:pP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1E93">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巡查管理</w:t>
            </w:r>
          </w:p>
        </w:tc>
      </w:tr>
      <w:tr w14:paraId="71229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76" w:type="dxa"/>
            <w:vMerge w:val="continue"/>
            <w:tcBorders>
              <w:left w:val="single" w:color="000000" w:sz="4" w:space="0"/>
              <w:right w:val="single" w:color="000000" w:sz="4" w:space="0"/>
            </w:tcBorders>
            <w:shd w:val="clear" w:color="auto" w:fill="auto"/>
            <w:vAlign w:val="center"/>
          </w:tcPr>
          <w:p w14:paraId="2CF2B8C2">
            <w:pPr>
              <w:jc w:val="center"/>
              <w:rPr>
                <w:rFonts w:hint="eastAsia" w:ascii="宋体" w:hAnsi="宋体" w:eastAsia="宋体" w:cs="宋体"/>
                <w:i w:val="0"/>
                <w:iCs w:val="0"/>
                <w:color w:val="auto"/>
                <w:sz w:val="18"/>
                <w:szCs w:val="18"/>
                <w:u w:val="none"/>
              </w:rPr>
            </w:pPr>
          </w:p>
        </w:tc>
        <w:tc>
          <w:tcPr>
            <w:tcW w:w="2010" w:type="dxa"/>
            <w:vMerge w:val="continue"/>
            <w:tcBorders>
              <w:left w:val="single" w:color="000000" w:sz="4" w:space="0"/>
              <w:right w:val="single" w:color="000000" w:sz="4" w:space="0"/>
            </w:tcBorders>
            <w:shd w:val="clear" w:color="auto" w:fill="auto"/>
            <w:vAlign w:val="center"/>
          </w:tcPr>
          <w:p w14:paraId="5A87DDD6">
            <w:pPr>
              <w:jc w:val="center"/>
              <w:rPr>
                <w:rFonts w:hint="eastAsia" w:ascii="宋体" w:hAnsi="宋体" w:eastAsia="宋体" w:cs="宋体"/>
                <w:i w:val="0"/>
                <w:iCs w:val="0"/>
                <w:color w:val="auto"/>
                <w:sz w:val="18"/>
                <w:szCs w:val="18"/>
                <w:u w:val="none"/>
              </w:rPr>
            </w:pP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40340">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监控管理</w:t>
            </w:r>
          </w:p>
        </w:tc>
      </w:tr>
      <w:tr w14:paraId="655BB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76" w:type="dxa"/>
            <w:vMerge w:val="continue"/>
            <w:tcBorders>
              <w:left w:val="single" w:color="000000" w:sz="4" w:space="0"/>
              <w:right w:val="single" w:color="000000" w:sz="4" w:space="0"/>
            </w:tcBorders>
            <w:shd w:val="clear" w:color="auto" w:fill="auto"/>
            <w:vAlign w:val="center"/>
          </w:tcPr>
          <w:p w14:paraId="451B9D40">
            <w:pPr>
              <w:jc w:val="center"/>
              <w:rPr>
                <w:rFonts w:hint="eastAsia" w:ascii="宋体" w:hAnsi="宋体" w:eastAsia="宋体" w:cs="宋体"/>
                <w:i w:val="0"/>
                <w:iCs w:val="0"/>
                <w:color w:val="auto"/>
                <w:sz w:val="18"/>
                <w:szCs w:val="18"/>
                <w:u w:val="none"/>
              </w:rPr>
            </w:pPr>
          </w:p>
        </w:tc>
        <w:tc>
          <w:tcPr>
            <w:tcW w:w="2010" w:type="dxa"/>
            <w:vMerge w:val="continue"/>
            <w:tcBorders>
              <w:left w:val="single" w:color="000000" w:sz="4" w:space="0"/>
              <w:right w:val="single" w:color="000000" w:sz="4" w:space="0"/>
            </w:tcBorders>
            <w:shd w:val="clear" w:color="auto" w:fill="auto"/>
            <w:vAlign w:val="center"/>
          </w:tcPr>
          <w:p w14:paraId="77C0C30C">
            <w:pPr>
              <w:jc w:val="center"/>
              <w:rPr>
                <w:rFonts w:hint="eastAsia" w:ascii="宋体" w:hAnsi="宋体" w:eastAsia="宋体" w:cs="宋体"/>
                <w:i w:val="0"/>
                <w:iCs w:val="0"/>
                <w:color w:val="auto"/>
                <w:sz w:val="18"/>
                <w:szCs w:val="18"/>
                <w:u w:val="none"/>
              </w:rPr>
            </w:pP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E1C42">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交通管理</w:t>
            </w:r>
          </w:p>
        </w:tc>
      </w:tr>
      <w:tr w14:paraId="75E18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76" w:type="dxa"/>
            <w:vMerge w:val="continue"/>
            <w:tcBorders>
              <w:left w:val="single" w:color="000000" w:sz="4" w:space="0"/>
              <w:right w:val="single" w:color="000000" w:sz="4" w:space="0"/>
            </w:tcBorders>
            <w:shd w:val="clear" w:color="auto" w:fill="auto"/>
            <w:vAlign w:val="center"/>
          </w:tcPr>
          <w:p w14:paraId="4A8B5EB5">
            <w:pPr>
              <w:jc w:val="center"/>
              <w:rPr>
                <w:rFonts w:hint="eastAsia" w:ascii="宋体" w:hAnsi="宋体" w:eastAsia="宋体" w:cs="宋体"/>
                <w:i w:val="0"/>
                <w:iCs w:val="0"/>
                <w:color w:val="auto"/>
                <w:sz w:val="18"/>
                <w:szCs w:val="18"/>
                <w:u w:val="none"/>
              </w:rPr>
            </w:pPr>
          </w:p>
        </w:tc>
        <w:tc>
          <w:tcPr>
            <w:tcW w:w="2010" w:type="dxa"/>
            <w:vMerge w:val="continue"/>
            <w:tcBorders>
              <w:left w:val="single" w:color="000000" w:sz="4" w:space="0"/>
              <w:bottom w:val="single" w:color="000000" w:sz="4" w:space="0"/>
              <w:right w:val="single" w:color="000000" w:sz="4" w:space="0"/>
            </w:tcBorders>
            <w:shd w:val="clear" w:color="auto" w:fill="auto"/>
            <w:vAlign w:val="center"/>
          </w:tcPr>
          <w:p w14:paraId="6E2B664F">
            <w:pPr>
              <w:jc w:val="center"/>
              <w:rPr>
                <w:rFonts w:hint="eastAsia" w:ascii="宋体" w:hAnsi="宋体" w:eastAsia="宋体" w:cs="宋体"/>
                <w:i w:val="0"/>
                <w:iCs w:val="0"/>
                <w:color w:val="auto"/>
                <w:sz w:val="18"/>
                <w:szCs w:val="18"/>
                <w:u w:val="none"/>
              </w:rPr>
            </w:pP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2BF2D">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消防安全管理</w:t>
            </w:r>
          </w:p>
        </w:tc>
      </w:tr>
      <w:tr w14:paraId="79D3B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1276" w:type="dxa"/>
            <w:vMerge w:val="continue"/>
            <w:tcBorders>
              <w:left w:val="single" w:color="000000" w:sz="4" w:space="0"/>
              <w:right w:val="single" w:color="000000" w:sz="4" w:space="0"/>
            </w:tcBorders>
            <w:shd w:val="clear" w:color="auto" w:fill="auto"/>
            <w:vAlign w:val="center"/>
          </w:tcPr>
          <w:p w14:paraId="19CAEAF7">
            <w:pPr>
              <w:jc w:val="center"/>
              <w:rPr>
                <w:rFonts w:hint="eastAsia" w:ascii="宋体" w:hAnsi="宋体" w:eastAsia="宋体" w:cs="宋体"/>
                <w:i w:val="0"/>
                <w:iCs w:val="0"/>
                <w:color w:val="auto"/>
                <w:sz w:val="18"/>
                <w:szCs w:val="18"/>
                <w:u w:val="none"/>
              </w:rPr>
            </w:pPr>
          </w:p>
        </w:tc>
        <w:tc>
          <w:tcPr>
            <w:tcW w:w="2010" w:type="dxa"/>
            <w:vMerge w:val="restart"/>
            <w:tcBorders>
              <w:top w:val="single" w:color="000000" w:sz="4" w:space="0"/>
              <w:left w:val="single" w:color="000000" w:sz="4" w:space="0"/>
              <w:right w:val="single" w:color="000000" w:sz="4" w:space="0"/>
            </w:tcBorders>
            <w:shd w:val="clear" w:color="auto" w:fill="auto"/>
            <w:vAlign w:val="center"/>
          </w:tcPr>
          <w:p w14:paraId="2573C60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风险与应急管理</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25337">
            <w:pPr>
              <w:jc w:val="center"/>
              <w:rPr>
                <w:rFonts w:hint="eastAsia" w:ascii="宋体" w:hAnsi="宋体" w:eastAsia="宋体" w:cs="宋体"/>
                <w:i w:val="0"/>
                <w:iCs w:val="0"/>
                <w:color w:val="auto"/>
                <w:sz w:val="18"/>
                <w:szCs w:val="18"/>
                <w:u w:val="none"/>
              </w:rPr>
            </w:pPr>
            <w:r>
              <w:rPr>
                <w:rFonts w:hint="eastAsia" w:ascii="宋体" w:hAnsi="宋体" w:cs="宋体"/>
                <w:i w:val="0"/>
                <w:iCs w:val="0"/>
                <w:color w:val="auto"/>
                <w:sz w:val="18"/>
                <w:szCs w:val="18"/>
                <w:u w:val="none"/>
                <w:lang w:val="en-US" w:eastAsia="zh-CN"/>
              </w:rPr>
              <w:t>危险源辨识</w:t>
            </w:r>
          </w:p>
        </w:tc>
      </w:tr>
      <w:tr w14:paraId="3E2E3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276" w:type="dxa"/>
            <w:vMerge w:val="continue"/>
            <w:tcBorders>
              <w:left w:val="single" w:color="000000" w:sz="4" w:space="0"/>
              <w:right w:val="single" w:color="000000" w:sz="4" w:space="0"/>
            </w:tcBorders>
            <w:shd w:val="clear" w:color="auto" w:fill="auto"/>
            <w:vAlign w:val="center"/>
          </w:tcPr>
          <w:p w14:paraId="63F8DB09">
            <w:pPr>
              <w:jc w:val="center"/>
              <w:rPr>
                <w:rFonts w:hint="eastAsia" w:ascii="宋体" w:hAnsi="宋体" w:eastAsia="宋体" w:cs="宋体"/>
                <w:i w:val="0"/>
                <w:iCs w:val="0"/>
                <w:color w:val="auto"/>
                <w:sz w:val="18"/>
                <w:szCs w:val="18"/>
                <w:u w:val="none"/>
              </w:rPr>
            </w:pPr>
          </w:p>
        </w:tc>
        <w:tc>
          <w:tcPr>
            <w:tcW w:w="2010" w:type="dxa"/>
            <w:vMerge w:val="continue"/>
            <w:tcBorders>
              <w:left w:val="single" w:color="000000" w:sz="4" w:space="0"/>
              <w:right w:val="single" w:color="000000" w:sz="4" w:space="0"/>
            </w:tcBorders>
            <w:shd w:val="clear" w:color="auto" w:fill="auto"/>
            <w:vAlign w:val="center"/>
          </w:tcPr>
          <w:p w14:paraId="1FB4D97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8C7E">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应急队伍</w:t>
            </w:r>
          </w:p>
        </w:tc>
      </w:tr>
      <w:tr w14:paraId="2677E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76" w:type="dxa"/>
            <w:vMerge w:val="continue"/>
            <w:tcBorders>
              <w:left w:val="single" w:color="000000" w:sz="4" w:space="0"/>
              <w:right w:val="single" w:color="000000" w:sz="4" w:space="0"/>
            </w:tcBorders>
            <w:shd w:val="clear" w:color="auto" w:fill="auto"/>
            <w:vAlign w:val="center"/>
          </w:tcPr>
          <w:p w14:paraId="780A2691">
            <w:pPr>
              <w:jc w:val="center"/>
              <w:rPr>
                <w:rFonts w:hint="eastAsia" w:ascii="宋体" w:hAnsi="宋体" w:eastAsia="宋体" w:cs="宋体"/>
                <w:i w:val="0"/>
                <w:iCs w:val="0"/>
                <w:color w:val="auto"/>
                <w:sz w:val="18"/>
                <w:szCs w:val="18"/>
                <w:u w:val="none"/>
              </w:rPr>
            </w:pPr>
          </w:p>
        </w:tc>
        <w:tc>
          <w:tcPr>
            <w:tcW w:w="2010" w:type="dxa"/>
            <w:vMerge w:val="continue"/>
            <w:tcBorders>
              <w:left w:val="single" w:color="000000" w:sz="4" w:space="0"/>
              <w:right w:val="single" w:color="000000" w:sz="4" w:space="0"/>
            </w:tcBorders>
            <w:shd w:val="clear" w:color="auto" w:fill="auto"/>
            <w:vAlign w:val="center"/>
          </w:tcPr>
          <w:p w14:paraId="6CA81A3D">
            <w:pPr>
              <w:jc w:val="center"/>
              <w:rPr>
                <w:rFonts w:hint="eastAsia" w:ascii="宋体" w:hAnsi="宋体" w:eastAsia="宋体" w:cs="宋体"/>
                <w:i w:val="0"/>
                <w:iCs w:val="0"/>
                <w:color w:val="auto"/>
                <w:sz w:val="18"/>
                <w:szCs w:val="18"/>
                <w:u w:val="none"/>
              </w:rPr>
            </w:pP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7269F">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应急物资</w:t>
            </w:r>
          </w:p>
        </w:tc>
      </w:tr>
      <w:tr w14:paraId="08203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76" w:type="dxa"/>
            <w:vMerge w:val="continue"/>
            <w:tcBorders>
              <w:left w:val="single" w:color="000000" w:sz="4" w:space="0"/>
              <w:right w:val="single" w:color="000000" w:sz="4" w:space="0"/>
            </w:tcBorders>
            <w:shd w:val="clear" w:color="auto" w:fill="auto"/>
            <w:vAlign w:val="center"/>
          </w:tcPr>
          <w:p w14:paraId="64707977">
            <w:pPr>
              <w:jc w:val="center"/>
              <w:rPr>
                <w:rFonts w:hint="eastAsia" w:ascii="宋体" w:hAnsi="宋体" w:eastAsia="宋体" w:cs="宋体"/>
                <w:i w:val="0"/>
                <w:iCs w:val="0"/>
                <w:color w:val="auto"/>
                <w:sz w:val="18"/>
                <w:szCs w:val="18"/>
                <w:u w:val="none"/>
              </w:rPr>
            </w:pPr>
          </w:p>
        </w:tc>
        <w:tc>
          <w:tcPr>
            <w:tcW w:w="2010" w:type="dxa"/>
            <w:vMerge w:val="continue"/>
            <w:tcBorders>
              <w:left w:val="single" w:color="000000" w:sz="4" w:space="0"/>
              <w:right w:val="single" w:color="000000" w:sz="4" w:space="0"/>
            </w:tcBorders>
            <w:shd w:val="clear" w:color="auto" w:fill="auto"/>
            <w:vAlign w:val="center"/>
          </w:tcPr>
          <w:p w14:paraId="0D961547">
            <w:pPr>
              <w:jc w:val="center"/>
              <w:rPr>
                <w:rFonts w:hint="eastAsia" w:ascii="宋体" w:hAnsi="宋体" w:eastAsia="宋体" w:cs="宋体"/>
                <w:i w:val="0"/>
                <w:iCs w:val="0"/>
                <w:color w:val="auto"/>
                <w:sz w:val="18"/>
                <w:szCs w:val="18"/>
                <w:u w:val="none"/>
              </w:rPr>
            </w:pP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22431">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应急预案</w:t>
            </w:r>
          </w:p>
        </w:tc>
      </w:tr>
      <w:tr w14:paraId="7E063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76" w:type="dxa"/>
            <w:vMerge w:val="continue"/>
            <w:tcBorders>
              <w:left w:val="single" w:color="000000" w:sz="4" w:space="0"/>
              <w:right w:val="single" w:color="000000" w:sz="4" w:space="0"/>
            </w:tcBorders>
            <w:shd w:val="clear" w:color="auto" w:fill="auto"/>
            <w:vAlign w:val="center"/>
          </w:tcPr>
          <w:p w14:paraId="168CE211">
            <w:pPr>
              <w:jc w:val="center"/>
              <w:rPr>
                <w:rFonts w:hint="eastAsia" w:ascii="宋体" w:hAnsi="宋体" w:eastAsia="宋体" w:cs="宋体"/>
                <w:i w:val="0"/>
                <w:iCs w:val="0"/>
                <w:color w:val="auto"/>
                <w:sz w:val="18"/>
                <w:szCs w:val="18"/>
                <w:u w:val="none"/>
              </w:rPr>
            </w:pPr>
          </w:p>
        </w:tc>
        <w:tc>
          <w:tcPr>
            <w:tcW w:w="2010" w:type="dxa"/>
            <w:vMerge w:val="continue"/>
            <w:tcBorders>
              <w:left w:val="single" w:color="000000" w:sz="4" w:space="0"/>
              <w:right w:val="single" w:color="000000" w:sz="4" w:space="0"/>
            </w:tcBorders>
            <w:shd w:val="clear" w:color="auto" w:fill="auto"/>
            <w:vAlign w:val="center"/>
          </w:tcPr>
          <w:p w14:paraId="13B0D04E">
            <w:pPr>
              <w:jc w:val="center"/>
              <w:rPr>
                <w:rFonts w:hint="eastAsia" w:ascii="宋体" w:hAnsi="宋体" w:eastAsia="宋体" w:cs="宋体"/>
                <w:i w:val="0"/>
                <w:iCs w:val="0"/>
                <w:color w:val="auto"/>
                <w:sz w:val="18"/>
                <w:szCs w:val="18"/>
                <w:u w:val="none"/>
              </w:rPr>
            </w:pP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084C">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应急演练</w:t>
            </w:r>
          </w:p>
        </w:tc>
      </w:tr>
      <w:tr w14:paraId="65296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76" w:type="dxa"/>
            <w:vMerge w:val="continue"/>
            <w:tcBorders>
              <w:left w:val="single" w:color="000000" w:sz="4" w:space="0"/>
              <w:right w:val="single" w:color="000000" w:sz="4" w:space="0"/>
            </w:tcBorders>
            <w:shd w:val="clear" w:color="auto" w:fill="auto"/>
            <w:vAlign w:val="center"/>
          </w:tcPr>
          <w:p w14:paraId="4E563F80">
            <w:pPr>
              <w:jc w:val="center"/>
              <w:rPr>
                <w:rFonts w:hint="eastAsia" w:ascii="宋体" w:hAnsi="宋体" w:eastAsia="宋体" w:cs="宋体"/>
                <w:i w:val="0"/>
                <w:iCs w:val="0"/>
                <w:color w:val="auto"/>
                <w:sz w:val="18"/>
                <w:szCs w:val="18"/>
                <w:u w:val="none"/>
              </w:rPr>
            </w:pPr>
          </w:p>
        </w:tc>
        <w:tc>
          <w:tcPr>
            <w:tcW w:w="2010" w:type="dxa"/>
            <w:vMerge w:val="continue"/>
            <w:tcBorders>
              <w:left w:val="single" w:color="000000" w:sz="4" w:space="0"/>
              <w:bottom w:val="single" w:color="000000" w:sz="4" w:space="0"/>
              <w:right w:val="single" w:color="000000" w:sz="4" w:space="0"/>
            </w:tcBorders>
            <w:shd w:val="clear" w:color="auto" w:fill="auto"/>
            <w:vAlign w:val="center"/>
          </w:tcPr>
          <w:p w14:paraId="43E473F8">
            <w:pPr>
              <w:jc w:val="center"/>
              <w:rPr>
                <w:rFonts w:hint="eastAsia" w:ascii="宋体" w:hAnsi="宋体" w:eastAsia="宋体" w:cs="宋体"/>
                <w:i w:val="0"/>
                <w:iCs w:val="0"/>
                <w:color w:val="auto"/>
                <w:sz w:val="18"/>
                <w:szCs w:val="18"/>
                <w:u w:val="none"/>
              </w:rPr>
            </w:pP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D73F">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应急处置</w:t>
            </w:r>
          </w:p>
        </w:tc>
      </w:tr>
      <w:tr w14:paraId="7E5CA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76" w:type="dxa"/>
            <w:vMerge w:val="continue"/>
            <w:tcBorders>
              <w:left w:val="single" w:color="000000" w:sz="4" w:space="0"/>
              <w:right w:val="single" w:color="000000" w:sz="4" w:space="0"/>
            </w:tcBorders>
            <w:shd w:val="clear" w:color="auto" w:fill="auto"/>
            <w:vAlign w:val="center"/>
          </w:tcPr>
          <w:p w14:paraId="4BE71817">
            <w:pPr>
              <w:jc w:val="center"/>
              <w:rPr>
                <w:rFonts w:hint="eastAsia" w:ascii="宋体" w:hAnsi="宋体" w:eastAsia="宋体" w:cs="宋体"/>
                <w:i w:val="0"/>
                <w:iCs w:val="0"/>
                <w:color w:val="auto"/>
                <w:sz w:val="18"/>
                <w:szCs w:val="18"/>
                <w:u w:val="none"/>
              </w:rPr>
            </w:pPr>
          </w:p>
        </w:tc>
        <w:tc>
          <w:tcPr>
            <w:tcW w:w="2010" w:type="dxa"/>
            <w:vMerge w:val="restart"/>
            <w:tcBorders>
              <w:top w:val="single" w:color="000000" w:sz="4" w:space="0"/>
              <w:left w:val="single" w:color="000000" w:sz="4" w:space="0"/>
              <w:right w:val="single" w:color="000000" w:sz="4" w:space="0"/>
            </w:tcBorders>
            <w:shd w:val="clear" w:color="auto" w:fill="auto"/>
            <w:vAlign w:val="center"/>
          </w:tcPr>
          <w:p w14:paraId="79A9A0C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环境管理</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A6803">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日常保洁</w:t>
            </w:r>
          </w:p>
        </w:tc>
      </w:tr>
      <w:tr w14:paraId="34565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76" w:type="dxa"/>
            <w:vMerge w:val="continue"/>
            <w:tcBorders>
              <w:left w:val="single" w:color="000000" w:sz="4" w:space="0"/>
              <w:right w:val="single" w:color="000000" w:sz="4" w:space="0"/>
            </w:tcBorders>
            <w:shd w:val="clear" w:color="auto" w:fill="auto"/>
            <w:vAlign w:val="center"/>
          </w:tcPr>
          <w:p w14:paraId="33A63A50">
            <w:pPr>
              <w:jc w:val="center"/>
              <w:rPr>
                <w:rFonts w:hint="eastAsia" w:ascii="宋体" w:hAnsi="宋体" w:eastAsia="宋体" w:cs="宋体"/>
                <w:i w:val="0"/>
                <w:iCs w:val="0"/>
                <w:color w:val="auto"/>
                <w:sz w:val="18"/>
                <w:szCs w:val="18"/>
                <w:u w:val="none"/>
              </w:rPr>
            </w:pPr>
          </w:p>
        </w:tc>
        <w:tc>
          <w:tcPr>
            <w:tcW w:w="2010" w:type="dxa"/>
            <w:vMerge w:val="continue"/>
            <w:tcBorders>
              <w:left w:val="single" w:color="000000" w:sz="4" w:space="0"/>
              <w:right w:val="single" w:color="000000" w:sz="4" w:space="0"/>
            </w:tcBorders>
            <w:shd w:val="clear" w:color="auto" w:fill="auto"/>
            <w:vAlign w:val="center"/>
          </w:tcPr>
          <w:p w14:paraId="0A69BB35">
            <w:pPr>
              <w:jc w:val="center"/>
              <w:rPr>
                <w:rFonts w:hint="eastAsia" w:ascii="宋体" w:hAnsi="宋体" w:eastAsia="宋体" w:cs="宋体"/>
                <w:i w:val="0"/>
                <w:iCs w:val="0"/>
                <w:color w:val="auto"/>
                <w:sz w:val="18"/>
                <w:szCs w:val="18"/>
                <w:u w:val="none"/>
              </w:rPr>
            </w:pP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78748">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专项保洁</w:t>
            </w:r>
          </w:p>
        </w:tc>
      </w:tr>
      <w:tr w14:paraId="650AF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76" w:type="dxa"/>
            <w:vMerge w:val="continue"/>
            <w:tcBorders>
              <w:left w:val="single" w:color="000000" w:sz="4" w:space="0"/>
              <w:right w:val="single" w:color="000000" w:sz="4" w:space="0"/>
            </w:tcBorders>
            <w:shd w:val="clear" w:color="auto" w:fill="auto"/>
            <w:vAlign w:val="center"/>
          </w:tcPr>
          <w:p w14:paraId="30AFFA40">
            <w:pPr>
              <w:jc w:val="center"/>
              <w:rPr>
                <w:rFonts w:hint="eastAsia" w:ascii="宋体" w:hAnsi="宋体" w:eastAsia="宋体" w:cs="宋体"/>
                <w:i w:val="0"/>
                <w:iCs w:val="0"/>
                <w:color w:val="auto"/>
                <w:sz w:val="18"/>
                <w:szCs w:val="18"/>
                <w:u w:val="none"/>
              </w:rPr>
            </w:pPr>
          </w:p>
        </w:tc>
        <w:tc>
          <w:tcPr>
            <w:tcW w:w="2010" w:type="dxa"/>
            <w:vMerge w:val="continue"/>
            <w:tcBorders>
              <w:left w:val="single" w:color="000000" w:sz="4" w:space="0"/>
              <w:right w:val="single" w:color="000000" w:sz="4" w:space="0"/>
            </w:tcBorders>
            <w:shd w:val="clear" w:color="auto" w:fill="auto"/>
            <w:vAlign w:val="center"/>
          </w:tcPr>
          <w:p w14:paraId="64F36C51">
            <w:pPr>
              <w:jc w:val="center"/>
              <w:rPr>
                <w:rFonts w:hint="eastAsia" w:ascii="宋体" w:hAnsi="宋体" w:eastAsia="宋体" w:cs="宋体"/>
                <w:i w:val="0"/>
                <w:iCs w:val="0"/>
                <w:color w:val="auto"/>
                <w:sz w:val="18"/>
                <w:szCs w:val="18"/>
                <w:u w:val="none"/>
              </w:rPr>
            </w:pP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95D3">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垃圾管理</w:t>
            </w:r>
          </w:p>
        </w:tc>
      </w:tr>
      <w:tr w14:paraId="4EFB1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76" w:type="dxa"/>
            <w:vMerge w:val="continue"/>
            <w:tcBorders>
              <w:left w:val="single" w:color="000000" w:sz="4" w:space="0"/>
              <w:right w:val="single" w:color="000000" w:sz="4" w:space="0"/>
            </w:tcBorders>
            <w:shd w:val="clear" w:color="auto" w:fill="auto"/>
            <w:vAlign w:val="center"/>
          </w:tcPr>
          <w:p w14:paraId="6303ECA3">
            <w:pPr>
              <w:jc w:val="center"/>
              <w:rPr>
                <w:rFonts w:hint="eastAsia" w:ascii="宋体" w:hAnsi="宋体" w:eastAsia="宋体" w:cs="宋体"/>
                <w:i w:val="0"/>
                <w:iCs w:val="0"/>
                <w:color w:val="auto"/>
                <w:sz w:val="18"/>
                <w:szCs w:val="18"/>
                <w:u w:val="none"/>
              </w:rPr>
            </w:pPr>
          </w:p>
        </w:tc>
        <w:tc>
          <w:tcPr>
            <w:tcW w:w="2010" w:type="dxa"/>
            <w:vMerge w:val="continue"/>
            <w:tcBorders>
              <w:left w:val="single" w:color="000000" w:sz="4" w:space="0"/>
              <w:right w:val="single" w:color="000000" w:sz="4" w:space="0"/>
            </w:tcBorders>
            <w:shd w:val="clear" w:color="auto" w:fill="auto"/>
            <w:vAlign w:val="center"/>
          </w:tcPr>
          <w:p w14:paraId="3053EC44">
            <w:pPr>
              <w:jc w:val="center"/>
              <w:rPr>
                <w:rFonts w:hint="eastAsia" w:ascii="宋体" w:hAnsi="宋体" w:eastAsia="宋体" w:cs="宋体"/>
                <w:i w:val="0"/>
                <w:iCs w:val="0"/>
                <w:color w:val="auto"/>
                <w:sz w:val="18"/>
                <w:szCs w:val="18"/>
                <w:u w:val="none"/>
              </w:rPr>
            </w:pP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8CC3E">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消杀管理</w:t>
            </w:r>
          </w:p>
        </w:tc>
      </w:tr>
      <w:tr w14:paraId="554D4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76" w:type="dxa"/>
            <w:vMerge w:val="continue"/>
            <w:tcBorders>
              <w:left w:val="single" w:color="000000" w:sz="4" w:space="0"/>
              <w:right w:val="single" w:color="000000" w:sz="4" w:space="0"/>
            </w:tcBorders>
            <w:shd w:val="clear" w:color="auto" w:fill="auto"/>
            <w:vAlign w:val="center"/>
          </w:tcPr>
          <w:p w14:paraId="5843DBE8">
            <w:pPr>
              <w:jc w:val="center"/>
              <w:rPr>
                <w:rFonts w:hint="eastAsia" w:ascii="宋体" w:hAnsi="宋体" w:eastAsia="宋体" w:cs="宋体"/>
                <w:i w:val="0"/>
                <w:iCs w:val="0"/>
                <w:color w:val="auto"/>
                <w:sz w:val="18"/>
                <w:szCs w:val="18"/>
                <w:u w:val="none"/>
              </w:rPr>
            </w:pPr>
          </w:p>
        </w:tc>
        <w:tc>
          <w:tcPr>
            <w:tcW w:w="2010" w:type="dxa"/>
            <w:vMerge w:val="continue"/>
            <w:tcBorders>
              <w:left w:val="single" w:color="000000" w:sz="4" w:space="0"/>
              <w:bottom w:val="single" w:color="000000" w:sz="4" w:space="0"/>
              <w:right w:val="single" w:color="000000" w:sz="4" w:space="0"/>
            </w:tcBorders>
            <w:shd w:val="clear" w:color="auto" w:fill="auto"/>
            <w:vAlign w:val="center"/>
          </w:tcPr>
          <w:p w14:paraId="23BB8B11">
            <w:pPr>
              <w:jc w:val="center"/>
              <w:rPr>
                <w:rFonts w:hint="eastAsia" w:ascii="宋体" w:hAnsi="宋体" w:eastAsia="宋体" w:cs="宋体"/>
                <w:i w:val="0"/>
                <w:iCs w:val="0"/>
                <w:color w:val="auto"/>
                <w:sz w:val="18"/>
                <w:szCs w:val="18"/>
                <w:u w:val="none"/>
              </w:rPr>
            </w:pP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21DDD">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绿化养护</w:t>
            </w:r>
          </w:p>
        </w:tc>
      </w:tr>
      <w:tr w14:paraId="62106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76" w:type="dxa"/>
            <w:vMerge w:val="continue"/>
            <w:tcBorders>
              <w:left w:val="single" w:color="000000" w:sz="4" w:space="0"/>
              <w:right w:val="single" w:color="000000" w:sz="4" w:space="0"/>
            </w:tcBorders>
            <w:shd w:val="clear" w:color="auto" w:fill="auto"/>
            <w:vAlign w:val="center"/>
          </w:tcPr>
          <w:p w14:paraId="238144B3">
            <w:pPr>
              <w:jc w:val="center"/>
              <w:rPr>
                <w:rFonts w:hint="eastAsia" w:ascii="宋体" w:hAnsi="宋体" w:eastAsia="宋体" w:cs="宋体"/>
                <w:i w:val="0"/>
                <w:iCs w:val="0"/>
                <w:color w:val="auto"/>
                <w:sz w:val="18"/>
                <w:szCs w:val="18"/>
                <w:u w:val="none"/>
              </w:rPr>
            </w:pPr>
          </w:p>
        </w:tc>
        <w:tc>
          <w:tcPr>
            <w:tcW w:w="2010" w:type="dxa"/>
            <w:vMerge w:val="restart"/>
            <w:tcBorders>
              <w:top w:val="single" w:color="000000" w:sz="4" w:space="0"/>
              <w:left w:val="single" w:color="000000" w:sz="4" w:space="0"/>
              <w:right w:val="single" w:color="000000" w:sz="4" w:space="0"/>
            </w:tcBorders>
            <w:shd w:val="clear" w:color="auto" w:fill="auto"/>
            <w:vAlign w:val="center"/>
          </w:tcPr>
          <w:p w14:paraId="7EBC16D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绿色运营管理</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627F1">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能源监测</w:t>
            </w:r>
          </w:p>
        </w:tc>
      </w:tr>
      <w:tr w14:paraId="4DC5B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76" w:type="dxa"/>
            <w:vMerge w:val="continue"/>
            <w:tcBorders>
              <w:left w:val="single" w:color="000000" w:sz="4" w:space="0"/>
              <w:right w:val="single" w:color="000000" w:sz="4" w:space="0"/>
            </w:tcBorders>
            <w:shd w:val="clear" w:color="auto" w:fill="auto"/>
            <w:vAlign w:val="center"/>
          </w:tcPr>
          <w:p w14:paraId="0CDD0FFE">
            <w:pPr>
              <w:jc w:val="center"/>
              <w:rPr>
                <w:rFonts w:hint="eastAsia" w:ascii="宋体" w:hAnsi="宋体" w:eastAsia="宋体" w:cs="宋体"/>
                <w:i w:val="0"/>
                <w:iCs w:val="0"/>
                <w:color w:val="auto"/>
                <w:sz w:val="18"/>
                <w:szCs w:val="18"/>
                <w:u w:val="none"/>
              </w:rPr>
            </w:pPr>
          </w:p>
        </w:tc>
        <w:tc>
          <w:tcPr>
            <w:tcW w:w="2010" w:type="dxa"/>
            <w:vMerge w:val="continue"/>
            <w:tcBorders>
              <w:left w:val="single" w:color="000000" w:sz="4" w:space="0"/>
              <w:right w:val="single" w:color="000000" w:sz="4" w:space="0"/>
            </w:tcBorders>
            <w:shd w:val="clear" w:color="auto" w:fill="auto"/>
            <w:vAlign w:val="center"/>
          </w:tcPr>
          <w:p w14:paraId="06EB74A1">
            <w:pPr>
              <w:jc w:val="center"/>
              <w:rPr>
                <w:rFonts w:hint="eastAsia" w:ascii="宋体" w:hAnsi="宋体" w:eastAsia="宋体" w:cs="宋体"/>
                <w:i w:val="0"/>
                <w:iCs w:val="0"/>
                <w:color w:val="auto"/>
                <w:sz w:val="18"/>
                <w:szCs w:val="18"/>
                <w:u w:val="none"/>
              </w:rPr>
            </w:pP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34B17">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节能降耗</w:t>
            </w:r>
          </w:p>
        </w:tc>
      </w:tr>
      <w:tr w14:paraId="178F4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76" w:type="dxa"/>
            <w:vMerge w:val="continue"/>
            <w:tcBorders>
              <w:left w:val="single" w:color="000000" w:sz="4" w:space="0"/>
              <w:right w:val="single" w:color="000000" w:sz="4" w:space="0"/>
            </w:tcBorders>
            <w:shd w:val="clear" w:color="auto" w:fill="auto"/>
            <w:vAlign w:val="center"/>
          </w:tcPr>
          <w:p w14:paraId="7D1E6B96">
            <w:pPr>
              <w:jc w:val="center"/>
              <w:rPr>
                <w:rFonts w:hint="eastAsia" w:ascii="宋体" w:hAnsi="宋体" w:eastAsia="宋体" w:cs="宋体"/>
                <w:i w:val="0"/>
                <w:iCs w:val="0"/>
                <w:color w:val="auto"/>
                <w:sz w:val="18"/>
                <w:szCs w:val="18"/>
                <w:u w:val="none"/>
              </w:rPr>
            </w:pPr>
          </w:p>
        </w:tc>
        <w:tc>
          <w:tcPr>
            <w:tcW w:w="2010" w:type="dxa"/>
            <w:vMerge w:val="continue"/>
            <w:tcBorders>
              <w:left w:val="single" w:color="000000" w:sz="4" w:space="0"/>
              <w:bottom w:val="single" w:color="000000" w:sz="4" w:space="0"/>
              <w:right w:val="single" w:color="000000" w:sz="4" w:space="0"/>
            </w:tcBorders>
            <w:shd w:val="clear" w:color="auto" w:fill="auto"/>
            <w:vAlign w:val="center"/>
          </w:tcPr>
          <w:p w14:paraId="76FF9902">
            <w:pPr>
              <w:jc w:val="center"/>
              <w:rPr>
                <w:rFonts w:hint="eastAsia" w:ascii="宋体" w:hAnsi="宋体" w:eastAsia="宋体" w:cs="宋体"/>
                <w:i w:val="0"/>
                <w:iCs w:val="0"/>
                <w:color w:val="auto"/>
                <w:sz w:val="18"/>
                <w:szCs w:val="18"/>
                <w:u w:val="none"/>
              </w:rPr>
            </w:pP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34301">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环保宣传</w:t>
            </w:r>
          </w:p>
        </w:tc>
      </w:tr>
      <w:tr w14:paraId="363C0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76" w:type="dxa"/>
            <w:vMerge w:val="continue"/>
            <w:tcBorders>
              <w:left w:val="single" w:color="000000" w:sz="4" w:space="0"/>
              <w:right w:val="single" w:color="000000" w:sz="4" w:space="0"/>
            </w:tcBorders>
            <w:shd w:val="clear" w:color="auto" w:fill="auto"/>
            <w:vAlign w:val="center"/>
          </w:tcPr>
          <w:p w14:paraId="571D6E30">
            <w:pPr>
              <w:jc w:val="center"/>
              <w:rPr>
                <w:rFonts w:hint="eastAsia" w:ascii="宋体" w:hAnsi="宋体" w:eastAsia="宋体" w:cs="宋体"/>
                <w:i w:val="0"/>
                <w:iCs w:val="0"/>
                <w:color w:val="auto"/>
                <w:sz w:val="18"/>
                <w:szCs w:val="18"/>
                <w:u w:val="none"/>
              </w:rPr>
            </w:pPr>
          </w:p>
        </w:tc>
        <w:tc>
          <w:tcPr>
            <w:tcW w:w="2010" w:type="dxa"/>
            <w:vMerge w:val="restart"/>
            <w:tcBorders>
              <w:top w:val="single" w:color="000000" w:sz="4" w:space="0"/>
              <w:left w:val="single" w:color="000000" w:sz="4" w:space="0"/>
              <w:right w:val="single" w:color="000000" w:sz="4" w:space="0"/>
            </w:tcBorders>
            <w:shd w:val="clear" w:color="auto" w:fill="auto"/>
            <w:vAlign w:val="center"/>
          </w:tcPr>
          <w:p w14:paraId="45E26AE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延伸服务</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DCE36">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会务服务协同</w:t>
            </w:r>
          </w:p>
        </w:tc>
      </w:tr>
      <w:tr w14:paraId="517BD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76" w:type="dxa"/>
            <w:vMerge w:val="continue"/>
            <w:tcBorders>
              <w:left w:val="single" w:color="000000" w:sz="4" w:space="0"/>
              <w:right w:val="single" w:color="000000" w:sz="4" w:space="0"/>
            </w:tcBorders>
            <w:shd w:val="clear" w:color="auto" w:fill="auto"/>
            <w:vAlign w:val="center"/>
          </w:tcPr>
          <w:p w14:paraId="3D718F22">
            <w:pPr>
              <w:jc w:val="center"/>
              <w:rPr>
                <w:rFonts w:hint="eastAsia" w:ascii="宋体" w:hAnsi="宋体" w:eastAsia="宋体" w:cs="宋体"/>
                <w:i w:val="0"/>
                <w:iCs w:val="0"/>
                <w:color w:val="auto"/>
                <w:sz w:val="18"/>
                <w:szCs w:val="18"/>
                <w:u w:val="none"/>
              </w:rPr>
            </w:pPr>
          </w:p>
        </w:tc>
        <w:tc>
          <w:tcPr>
            <w:tcW w:w="2010" w:type="dxa"/>
            <w:vMerge w:val="continue"/>
            <w:tcBorders>
              <w:left w:val="single" w:color="000000" w:sz="4" w:space="0"/>
              <w:right w:val="single" w:color="000000" w:sz="4" w:space="0"/>
            </w:tcBorders>
            <w:shd w:val="clear" w:color="auto" w:fill="auto"/>
            <w:vAlign w:val="center"/>
          </w:tcPr>
          <w:p w14:paraId="40401801">
            <w:pPr>
              <w:jc w:val="center"/>
              <w:rPr>
                <w:rFonts w:hint="eastAsia" w:ascii="宋体" w:hAnsi="宋体" w:eastAsia="宋体" w:cs="宋体"/>
                <w:i w:val="0"/>
                <w:iCs w:val="0"/>
                <w:color w:val="auto"/>
                <w:sz w:val="18"/>
                <w:szCs w:val="18"/>
                <w:u w:val="none"/>
              </w:rPr>
            </w:pP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6FA0D">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短驳车服务协同</w:t>
            </w:r>
          </w:p>
        </w:tc>
      </w:tr>
      <w:tr w14:paraId="73F18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76" w:type="dxa"/>
            <w:vMerge w:val="continue"/>
            <w:tcBorders>
              <w:left w:val="single" w:color="000000" w:sz="4" w:space="0"/>
              <w:right w:val="single" w:color="000000" w:sz="4" w:space="0"/>
            </w:tcBorders>
            <w:shd w:val="clear" w:color="auto" w:fill="auto"/>
            <w:vAlign w:val="center"/>
          </w:tcPr>
          <w:p w14:paraId="7D80E032">
            <w:pPr>
              <w:jc w:val="center"/>
              <w:rPr>
                <w:rFonts w:hint="eastAsia" w:ascii="宋体" w:hAnsi="宋体" w:eastAsia="宋体" w:cs="宋体"/>
                <w:i w:val="0"/>
                <w:iCs w:val="0"/>
                <w:color w:val="auto"/>
                <w:sz w:val="18"/>
                <w:szCs w:val="18"/>
                <w:u w:val="none"/>
              </w:rPr>
            </w:pPr>
          </w:p>
        </w:tc>
        <w:tc>
          <w:tcPr>
            <w:tcW w:w="2010" w:type="dxa"/>
            <w:vMerge w:val="continue"/>
            <w:tcBorders>
              <w:left w:val="single" w:color="000000" w:sz="4" w:space="0"/>
              <w:right w:val="single" w:color="000000" w:sz="4" w:space="0"/>
            </w:tcBorders>
            <w:shd w:val="clear" w:color="auto" w:fill="auto"/>
            <w:vAlign w:val="center"/>
          </w:tcPr>
          <w:p w14:paraId="51DFDDBF">
            <w:pPr>
              <w:jc w:val="center"/>
              <w:rPr>
                <w:rFonts w:hint="eastAsia" w:ascii="宋体" w:hAnsi="宋体" w:eastAsia="宋体" w:cs="宋体"/>
                <w:i w:val="0"/>
                <w:iCs w:val="0"/>
                <w:color w:val="auto"/>
                <w:sz w:val="18"/>
                <w:szCs w:val="18"/>
                <w:u w:val="none"/>
              </w:rPr>
            </w:pP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36316">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餐饮服务协同</w:t>
            </w:r>
          </w:p>
        </w:tc>
      </w:tr>
      <w:tr w14:paraId="2A6EB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 w:hRule="atLeast"/>
        </w:trPr>
        <w:tc>
          <w:tcPr>
            <w:tcW w:w="1276" w:type="dxa"/>
            <w:vMerge w:val="continue"/>
            <w:tcBorders>
              <w:left w:val="single" w:color="000000" w:sz="4" w:space="0"/>
              <w:bottom w:val="single" w:color="000000" w:sz="4" w:space="0"/>
              <w:right w:val="single" w:color="000000" w:sz="4" w:space="0"/>
            </w:tcBorders>
            <w:shd w:val="clear" w:color="auto" w:fill="auto"/>
            <w:vAlign w:val="center"/>
          </w:tcPr>
          <w:p w14:paraId="243A5474">
            <w:pPr>
              <w:jc w:val="center"/>
              <w:rPr>
                <w:rFonts w:hint="eastAsia" w:ascii="宋体" w:hAnsi="宋体" w:eastAsia="宋体" w:cs="宋体"/>
                <w:i w:val="0"/>
                <w:iCs w:val="0"/>
                <w:color w:val="auto"/>
                <w:sz w:val="18"/>
                <w:szCs w:val="18"/>
                <w:u w:val="none"/>
              </w:rPr>
            </w:pPr>
          </w:p>
        </w:tc>
        <w:tc>
          <w:tcPr>
            <w:tcW w:w="2010" w:type="dxa"/>
            <w:vMerge w:val="continue"/>
            <w:tcBorders>
              <w:left w:val="single" w:color="000000" w:sz="4" w:space="0"/>
              <w:bottom w:val="single" w:color="000000" w:sz="4" w:space="0"/>
              <w:right w:val="single" w:color="000000" w:sz="4" w:space="0"/>
            </w:tcBorders>
            <w:shd w:val="clear" w:color="auto" w:fill="auto"/>
            <w:vAlign w:val="center"/>
          </w:tcPr>
          <w:p w14:paraId="09E0B804">
            <w:pPr>
              <w:jc w:val="center"/>
              <w:rPr>
                <w:rFonts w:hint="eastAsia" w:ascii="宋体" w:hAnsi="宋体" w:eastAsia="宋体" w:cs="宋体"/>
                <w:i w:val="0"/>
                <w:iCs w:val="0"/>
                <w:color w:val="auto"/>
                <w:sz w:val="18"/>
                <w:szCs w:val="18"/>
                <w:u w:val="none"/>
              </w:rPr>
            </w:pP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1777">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其他客户特约服务</w:t>
            </w:r>
          </w:p>
        </w:tc>
      </w:tr>
      <w:tr w14:paraId="71A14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76" w:type="dxa"/>
            <w:vMerge w:val="restart"/>
            <w:tcBorders>
              <w:top w:val="single" w:color="000000" w:sz="4" w:space="0"/>
              <w:left w:val="single" w:color="000000" w:sz="4" w:space="0"/>
              <w:right w:val="single" w:color="000000" w:sz="4" w:space="0"/>
            </w:tcBorders>
            <w:shd w:val="clear" w:color="auto" w:fill="auto"/>
            <w:vAlign w:val="center"/>
          </w:tcPr>
          <w:p w14:paraId="0D0E3FC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服务结果</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AF4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主观结果</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65F61">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客户满意度</w:t>
            </w:r>
          </w:p>
        </w:tc>
      </w:tr>
      <w:tr w14:paraId="14AE5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76" w:type="dxa"/>
            <w:vMerge w:val="continue"/>
            <w:tcBorders>
              <w:left w:val="single" w:color="000000" w:sz="4" w:space="0"/>
              <w:right w:val="single" w:color="000000" w:sz="4" w:space="0"/>
            </w:tcBorders>
            <w:shd w:val="clear" w:color="auto" w:fill="auto"/>
            <w:vAlign w:val="center"/>
          </w:tcPr>
          <w:p w14:paraId="61069D30">
            <w:pPr>
              <w:jc w:val="center"/>
              <w:rPr>
                <w:rFonts w:hint="eastAsia" w:ascii="宋体" w:hAnsi="宋体" w:eastAsia="宋体" w:cs="宋体"/>
                <w:i w:val="0"/>
                <w:iCs w:val="0"/>
                <w:color w:val="auto"/>
                <w:sz w:val="18"/>
                <w:szCs w:val="18"/>
                <w:u w:val="none"/>
              </w:rPr>
            </w:pPr>
          </w:p>
        </w:tc>
        <w:tc>
          <w:tcPr>
            <w:tcW w:w="2010" w:type="dxa"/>
            <w:vMerge w:val="restart"/>
            <w:tcBorders>
              <w:top w:val="single" w:color="000000" w:sz="4" w:space="0"/>
              <w:left w:val="single" w:color="000000" w:sz="4" w:space="0"/>
              <w:right w:val="single" w:color="000000" w:sz="4" w:space="0"/>
            </w:tcBorders>
            <w:shd w:val="clear" w:color="auto" w:fill="auto"/>
            <w:vAlign w:val="center"/>
          </w:tcPr>
          <w:p w14:paraId="7F6AE01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客观结果</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A092">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设施设备完好性</w:t>
            </w:r>
          </w:p>
        </w:tc>
      </w:tr>
      <w:tr w14:paraId="1397E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76" w:type="dxa"/>
            <w:vMerge w:val="continue"/>
            <w:tcBorders>
              <w:left w:val="single" w:color="000000" w:sz="4" w:space="0"/>
              <w:right w:val="single" w:color="000000" w:sz="4" w:space="0"/>
            </w:tcBorders>
            <w:shd w:val="clear" w:color="auto" w:fill="auto"/>
            <w:vAlign w:val="center"/>
          </w:tcPr>
          <w:p w14:paraId="2BFBCE88">
            <w:pPr>
              <w:jc w:val="center"/>
              <w:rPr>
                <w:rFonts w:hint="eastAsia" w:ascii="宋体" w:hAnsi="宋体" w:eastAsia="宋体" w:cs="宋体"/>
                <w:i w:val="0"/>
                <w:iCs w:val="0"/>
                <w:color w:val="auto"/>
                <w:sz w:val="18"/>
                <w:szCs w:val="18"/>
                <w:u w:val="none"/>
              </w:rPr>
            </w:pPr>
          </w:p>
        </w:tc>
        <w:tc>
          <w:tcPr>
            <w:tcW w:w="2010" w:type="dxa"/>
            <w:vMerge w:val="continue"/>
            <w:tcBorders>
              <w:left w:val="single" w:color="000000" w:sz="4" w:space="0"/>
              <w:right w:val="single" w:color="000000" w:sz="4" w:space="0"/>
            </w:tcBorders>
            <w:shd w:val="clear" w:color="auto" w:fill="auto"/>
            <w:vAlign w:val="center"/>
          </w:tcPr>
          <w:p w14:paraId="549EEF22">
            <w:pPr>
              <w:jc w:val="center"/>
              <w:rPr>
                <w:rFonts w:hint="eastAsia" w:ascii="宋体" w:hAnsi="宋体" w:eastAsia="宋体" w:cs="宋体"/>
                <w:i w:val="0"/>
                <w:iCs w:val="0"/>
                <w:color w:val="auto"/>
                <w:sz w:val="18"/>
                <w:szCs w:val="18"/>
                <w:u w:val="none"/>
              </w:rPr>
            </w:pP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1DC4E">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需求响应有效性</w:t>
            </w:r>
          </w:p>
        </w:tc>
      </w:tr>
      <w:tr w14:paraId="63E0D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76" w:type="dxa"/>
            <w:vMerge w:val="continue"/>
            <w:tcBorders>
              <w:left w:val="single" w:color="000000" w:sz="4" w:space="0"/>
              <w:bottom w:val="single" w:color="000000" w:sz="4" w:space="0"/>
              <w:right w:val="single" w:color="000000" w:sz="4" w:space="0"/>
            </w:tcBorders>
            <w:shd w:val="clear" w:color="auto" w:fill="auto"/>
            <w:vAlign w:val="center"/>
          </w:tcPr>
          <w:p w14:paraId="6B864E0D">
            <w:pPr>
              <w:jc w:val="center"/>
              <w:rPr>
                <w:rFonts w:hint="eastAsia" w:ascii="宋体" w:hAnsi="宋体" w:eastAsia="宋体" w:cs="宋体"/>
                <w:i w:val="0"/>
                <w:iCs w:val="0"/>
                <w:color w:val="auto"/>
                <w:sz w:val="18"/>
                <w:szCs w:val="18"/>
                <w:u w:val="none"/>
              </w:rPr>
            </w:pPr>
          </w:p>
        </w:tc>
        <w:tc>
          <w:tcPr>
            <w:tcW w:w="2010" w:type="dxa"/>
            <w:vMerge w:val="continue"/>
            <w:tcBorders>
              <w:left w:val="single" w:color="000000" w:sz="4" w:space="0"/>
              <w:bottom w:val="single" w:color="000000" w:sz="4" w:space="0"/>
              <w:right w:val="single" w:color="000000" w:sz="4" w:space="0"/>
            </w:tcBorders>
            <w:shd w:val="clear" w:color="auto" w:fill="auto"/>
            <w:vAlign w:val="center"/>
          </w:tcPr>
          <w:p w14:paraId="5A110D96">
            <w:pPr>
              <w:jc w:val="center"/>
              <w:rPr>
                <w:rFonts w:hint="eastAsia" w:ascii="宋体" w:hAnsi="宋体" w:eastAsia="宋体" w:cs="宋体"/>
                <w:i w:val="0"/>
                <w:iCs w:val="0"/>
                <w:color w:val="auto"/>
                <w:sz w:val="18"/>
                <w:szCs w:val="18"/>
                <w:u w:val="none"/>
              </w:rPr>
            </w:pP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FFB5">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服务收费经济性</w:t>
            </w:r>
          </w:p>
        </w:tc>
      </w:tr>
    </w:tbl>
    <w:p w14:paraId="24FE676D">
      <w:pPr>
        <w:widowControl/>
        <w:ind w:firstLine="420" w:firstLineChars="200"/>
        <w:jc w:val="left"/>
        <w:rPr>
          <w:rFonts w:hint="eastAsia" w:hAnsi="宋体" w:cs="宋体"/>
          <w:color w:val="auto"/>
          <w:kern w:val="0"/>
          <w:szCs w:val="21"/>
          <w:lang w:bidi="ar"/>
        </w:rPr>
      </w:pPr>
    </w:p>
    <w:p w14:paraId="4546F210">
      <w:pPr>
        <w:numPr>
          <w:ilvl w:val="1"/>
          <w:numId w:val="5"/>
        </w:numPr>
        <w:spacing w:before="120" w:beforeLines="50" w:after="120" w:afterLines="50"/>
        <w:outlineLvl w:val="1"/>
        <w:rPr>
          <w:rFonts w:hint="eastAsia" w:ascii="黑体" w:hAnsi="黑体" w:eastAsia="黑体" w:cs="黑体"/>
          <w:color w:val="auto"/>
          <w:szCs w:val="21"/>
        </w:rPr>
      </w:pPr>
      <w:r>
        <w:rPr>
          <w:rFonts w:hint="eastAsia" w:ascii="黑体" w:hAnsi="黑体" w:eastAsia="黑体" w:cs="黑体"/>
          <w:color w:val="auto"/>
          <w:szCs w:val="21"/>
        </w:rPr>
        <w:t xml:space="preserve">  </w:t>
      </w:r>
      <w:bookmarkStart w:id="64" w:name="_Toc25969"/>
      <w:bookmarkStart w:id="65" w:name="_Toc18564"/>
      <w:bookmarkStart w:id="66" w:name="_Toc1335104520"/>
      <w:r>
        <w:rPr>
          <w:rFonts w:hint="eastAsia" w:ascii="黑体" w:hAnsi="黑体" w:eastAsia="黑体" w:cs="黑体"/>
          <w:color w:val="auto"/>
          <w:szCs w:val="21"/>
        </w:rPr>
        <w:t>取值规则</w:t>
      </w:r>
      <w:bookmarkEnd w:id="64"/>
      <w:bookmarkEnd w:id="65"/>
      <w:bookmarkEnd w:id="66"/>
    </w:p>
    <w:p w14:paraId="4DC13650">
      <w:pPr>
        <w:ind w:left="0" w:leftChars="0" w:firstLine="420" w:firstLineChars="200"/>
        <w:rPr>
          <w:rFonts w:hint="default" w:ascii="宋体" w:hAnsi="宋体" w:eastAsia="宋体"/>
          <w:color w:val="auto"/>
          <w:szCs w:val="21"/>
          <w:lang w:val="en-US" w:eastAsia="zh-CN"/>
        </w:rPr>
      </w:pPr>
      <w:bookmarkStart w:id="67" w:name="_Toc314063174"/>
      <w:bookmarkStart w:id="68" w:name="_Toc45040137"/>
      <w:r>
        <w:rPr>
          <w:rFonts w:hint="eastAsia"/>
          <w:color w:val="auto"/>
        </w:rPr>
        <w:t>评价指标体系设置满分</w:t>
      </w:r>
      <w:r>
        <w:rPr>
          <w:rFonts w:hint="eastAsia"/>
          <w:color w:val="auto"/>
          <w:lang w:val="en-US" w:eastAsia="zh-CN"/>
        </w:rPr>
        <w:t>10</w:t>
      </w:r>
      <w:r>
        <w:rPr>
          <w:rFonts w:hint="eastAsia"/>
          <w:color w:val="auto"/>
        </w:rPr>
        <w:t>00分，</w:t>
      </w:r>
      <w:r>
        <w:rPr>
          <w:rFonts w:hint="eastAsia" w:hAnsi="宋体" w:cs="宋体"/>
          <w:color w:val="auto"/>
          <w:kern w:val="0"/>
          <w:szCs w:val="21"/>
          <w:lang w:bidi="ar"/>
        </w:rPr>
        <w:t>一级指标权重分别为20%、60%、20%。</w:t>
      </w:r>
      <w:r>
        <w:rPr>
          <w:rFonts w:hint="eastAsia"/>
          <w:color w:val="auto"/>
        </w:rPr>
        <w:t>各项指标按照内容和重要程度不同设置不同指标分值，指标体系的具体指标、分值及评价细则见附录A。一级指标分值分别为</w:t>
      </w:r>
      <w:r>
        <w:rPr>
          <w:rFonts w:hint="eastAsia"/>
          <w:color w:val="auto"/>
          <w:lang w:val="en-US" w:eastAsia="zh-CN"/>
        </w:rPr>
        <w:t>2</w:t>
      </w:r>
      <w:r>
        <w:rPr>
          <w:rFonts w:hint="eastAsia"/>
          <w:color w:val="auto"/>
        </w:rPr>
        <w:t>00分、</w:t>
      </w:r>
      <w:r>
        <w:rPr>
          <w:rFonts w:hint="eastAsia"/>
          <w:color w:val="auto"/>
          <w:lang w:val="en-US" w:eastAsia="zh-CN"/>
        </w:rPr>
        <w:t>6</w:t>
      </w:r>
      <w:r>
        <w:rPr>
          <w:rFonts w:hint="eastAsia"/>
          <w:color w:val="auto"/>
        </w:rPr>
        <w:t>00分、</w:t>
      </w:r>
      <w:r>
        <w:rPr>
          <w:rFonts w:hint="eastAsia"/>
          <w:color w:val="auto"/>
          <w:lang w:val="en-US" w:eastAsia="zh-CN"/>
        </w:rPr>
        <w:t>2</w:t>
      </w:r>
      <w:r>
        <w:rPr>
          <w:rFonts w:hint="eastAsia"/>
          <w:color w:val="auto"/>
        </w:rPr>
        <w:t>00分</w:t>
      </w:r>
      <w:bookmarkEnd w:id="67"/>
      <w:bookmarkEnd w:id="68"/>
      <w:r>
        <w:rPr>
          <w:rFonts w:hint="eastAsia"/>
          <w:color w:val="auto"/>
          <w:lang w:eastAsia="zh-CN"/>
        </w:rPr>
        <w:t>。</w:t>
      </w:r>
      <w:r>
        <w:rPr>
          <w:rFonts w:hint="eastAsia"/>
          <w:color w:val="auto"/>
          <w:lang w:val="en-US" w:eastAsia="zh-CN"/>
        </w:rPr>
        <w:t>另外：延伸服务额外设置加分总分10分。</w:t>
      </w:r>
    </w:p>
    <w:p w14:paraId="084D877D">
      <w:pPr>
        <w:pStyle w:val="72"/>
        <w:numPr>
          <w:ilvl w:val="0"/>
          <w:numId w:val="5"/>
        </w:numPr>
        <w:spacing w:before="240" w:after="240"/>
        <w:outlineLvl w:val="0"/>
        <w:rPr>
          <w:rFonts w:hint="eastAsia" w:hAnsi="黑体" w:cs="黑体"/>
          <w:color w:val="auto"/>
          <w:szCs w:val="21"/>
        </w:rPr>
      </w:pPr>
      <w:bookmarkStart w:id="69" w:name="_Toc28760"/>
      <w:bookmarkStart w:id="70" w:name="_Toc22717"/>
      <w:bookmarkStart w:id="71" w:name="_Toc18367"/>
      <w:r>
        <w:rPr>
          <w:rFonts w:hint="eastAsia" w:ascii="Segoe UI" w:hAnsi="Segoe UI" w:eastAsia="Segoe UI" w:cs="Segoe UI"/>
          <w:color w:val="auto"/>
          <w:sz w:val="18"/>
          <w:szCs w:val="18"/>
          <w:shd w:val="clear" w:color="auto" w:fill="F7F7F7"/>
        </w:rPr>
        <w:fldChar w:fldCharType="end"/>
      </w:r>
      <w:r>
        <w:rPr>
          <w:rFonts w:hint="eastAsia" w:ascii="Segoe UI" w:hAnsi="Segoe UI" w:eastAsia="宋体" w:cs="Segoe UI"/>
          <w:color w:val="auto"/>
          <w:sz w:val="18"/>
          <w:szCs w:val="18"/>
          <w:shd w:val="clear" w:color="auto" w:fill="F7F7F7"/>
          <w:lang w:val="en-US" w:eastAsia="zh-CN"/>
        </w:rPr>
        <w:t xml:space="preserve"> </w:t>
      </w:r>
      <w:r>
        <w:rPr>
          <w:rFonts w:hint="eastAsia" w:hAnsi="黑体" w:cs="黑体"/>
          <w:color w:val="auto"/>
          <w:szCs w:val="21"/>
        </w:rPr>
        <w:t>评价方法</w:t>
      </w:r>
      <w:bookmarkEnd w:id="69"/>
      <w:bookmarkEnd w:id="70"/>
      <w:bookmarkEnd w:id="71"/>
    </w:p>
    <w:p w14:paraId="21537385">
      <w:pPr>
        <w:outlineLvl w:val="9"/>
        <w:rPr>
          <w:rFonts w:hint="eastAsia" w:ascii="宋体" w:hAnsi="宋体" w:cs="宋体"/>
          <w:szCs w:val="21"/>
        </w:rPr>
      </w:pPr>
      <w:bookmarkStart w:id="72" w:name="_Toc6670"/>
      <w:bookmarkStart w:id="73" w:name="_Toc526525101"/>
      <w:bookmarkStart w:id="74" w:name="_Toc1398690594"/>
      <w:bookmarkStart w:id="75" w:name="_Toc2144574200"/>
      <w:r>
        <w:rPr>
          <w:rFonts w:hint="eastAsia" w:ascii="黑体" w:hAnsi="黑体" w:eastAsia="黑体" w:cs="黑体"/>
          <w:szCs w:val="21"/>
        </w:rPr>
        <w:t>7.1</w:t>
      </w:r>
      <w:r>
        <w:rPr>
          <w:rFonts w:hint="eastAsia" w:ascii="黑体" w:hAnsi="黑体" w:eastAsia="黑体" w:cs="黑体"/>
          <w:szCs w:val="21"/>
          <w:lang w:val="en-US" w:eastAsia="zh-CN"/>
        </w:rPr>
        <w:t xml:space="preserve">  </w:t>
      </w:r>
      <w:r>
        <w:rPr>
          <w:rFonts w:hint="eastAsia" w:ascii="宋体" w:hAnsi="宋体" w:cs="宋体"/>
          <w:szCs w:val="21"/>
        </w:rPr>
        <w:t>对服务资源和服务过程开展评价时，应使用</w:t>
      </w:r>
      <w:r>
        <w:rPr>
          <w:rFonts w:hint="eastAsia" w:ascii="宋体" w:hAnsi="宋体" w:cs="宋体"/>
          <w:szCs w:val="21"/>
          <w:lang w:val="en-US" w:eastAsia="zh-CN"/>
        </w:rPr>
        <w:t>下列</w:t>
      </w:r>
      <w:r>
        <w:rPr>
          <w:rFonts w:hint="eastAsia" w:ascii="宋体" w:hAnsi="宋体" w:cs="宋体"/>
          <w:szCs w:val="21"/>
        </w:rPr>
        <w:t>方法：</w:t>
      </w:r>
      <w:bookmarkEnd w:id="72"/>
      <w:bookmarkEnd w:id="73"/>
      <w:bookmarkEnd w:id="74"/>
      <w:bookmarkEnd w:id="75"/>
    </w:p>
    <w:p w14:paraId="19837622">
      <w:pPr>
        <w:numPr>
          <w:ilvl w:val="0"/>
          <w:numId w:val="6"/>
        </w:numPr>
        <w:ind w:left="840" w:leftChars="200" w:hanging="420" w:hangingChars="200"/>
        <w:rPr>
          <w:rFonts w:hint="eastAsia" w:ascii="宋体" w:hAnsi="宋体"/>
          <w:color w:val="000000"/>
          <w:szCs w:val="21"/>
        </w:rPr>
      </w:pPr>
      <w:r>
        <w:rPr>
          <w:rFonts w:hint="eastAsia" w:ascii="宋体" w:hAnsi="宋体"/>
          <w:color w:val="000000"/>
          <w:szCs w:val="21"/>
        </w:rPr>
        <w:t>评价服务的策划、准备应使用文件查验与现场问询相结合的方式；</w:t>
      </w:r>
    </w:p>
    <w:p w14:paraId="6357AE65">
      <w:pPr>
        <w:numPr>
          <w:ilvl w:val="0"/>
          <w:numId w:val="6"/>
        </w:numPr>
        <w:ind w:left="840" w:leftChars="200" w:hanging="420" w:hangingChars="200"/>
        <w:rPr>
          <w:rFonts w:hint="eastAsia" w:ascii="宋体" w:hAnsi="宋体"/>
          <w:color w:val="000000"/>
          <w:szCs w:val="21"/>
        </w:rPr>
      </w:pPr>
      <w:r>
        <w:rPr>
          <w:rFonts w:hint="eastAsia" w:ascii="宋体" w:hAnsi="宋体"/>
          <w:color w:val="000000"/>
          <w:szCs w:val="21"/>
        </w:rPr>
        <w:t>评价服务的实施效果应使用现场查验服务实施过程和记录、现场问询、现场体验相结合的方式。</w:t>
      </w:r>
    </w:p>
    <w:p w14:paraId="35CA53CD">
      <w:pPr>
        <w:rPr>
          <w:rFonts w:hint="eastAsia" w:ascii="宋体" w:hAnsi="宋体"/>
          <w:color w:val="000000"/>
          <w:szCs w:val="21"/>
        </w:rPr>
      </w:pPr>
      <w:r>
        <w:rPr>
          <w:rFonts w:hint="eastAsia" w:ascii="黑体" w:hAnsi="黑体" w:eastAsia="黑体" w:cs="黑体"/>
          <w:szCs w:val="21"/>
        </w:rPr>
        <w:t>7.2</w:t>
      </w:r>
      <w:r>
        <w:rPr>
          <w:rFonts w:hint="eastAsia" w:ascii="宋体" w:hAnsi="宋体"/>
          <w:color w:val="000000"/>
          <w:szCs w:val="21"/>
        </w:rPr>
        <w:t xml:space="preserve">  对服务结果开展评价时，应使用问卷调查、客户访谈或采信可靠数据的方式。</w:t>
      </w:r>
    </w:p>
    <w:p w14:paraId="2DFDA3A9">
      <w:pPr>
        <w:rPr>
          <w:rFonts w:hint="eastAsia" w:ascii="宋体" w:hAnsi="宋体"/>
          <w:color w:val="000000"/>
          <w:szCs w:val="21"/>
        </w:rPr>
      </w:pPr>
      <w:r>
        <w:rPr>
          <w:rFonts w:hint="eastAsia" w:ascii="黑体" w:hAnsi="黑体" w:eastAsia="黑体" w:cs="黑体"/>
          <w:szCs w:val="21"/>
        </w:rPr>
        <w:t xml:space="preserve">7.3  </w:t>
      </w:r>
      <w:r>
        <w:rPr>
          <w:rFonts w:hint="eastAsia"/>
        </w:rPr>
        <w:t>必要时可采用其他如数据分析、抽样测量、过程再现、试验测试或实施痕迹检查等。</w:t>
      </w:r>
    </w:p>
    <w:p w14:paraId="767C491B">
      <w:pPr>
        <w:rPr>
          <w:rFonts w:hint="eastAsia" w:ascii="宋体" w:hAnsi="宋体"/>
          <w:color w:val="000000"/>
          <w:szCs w:val="21"/>
        </w:rPr>
      </w:pPr>
      <w:r>
        <w:rPr>
          <w:rFonts w:hint="eastAsia" w:ascii="黑体" w:hAnsi="黑体" w:eastAsia="黑体" w:cs="黑体"/>
          <w:szCs w:val="21"/>
        </w:rPr>
        <w:t>7.4</w:t>
      </w:r>
      <w:r>
        <w:rPr>
          <w:rFonts w:hint="eastAsia" w:ascii="宋体" w:hAnsi="宋体"/>
          <w:color w:val="000000"/>
          <w:szCs w:val="21"/>
        </w:rPr>
        <w:t xml:space="preserve">  采信的数据应是3个月内由具有资质的第三方客户满意度调查企业出具的数据。</w:t>
      </w:r>
    </w:p>
    <w:p w14:paraId="190D924A">
      <w:pPr>
        <w:pStyle w:val="72"/>
        <w:numPr>
          <w:ilvl w:val="0"/>
          <w:numId w:val="5"/>
        </w:numPr>
        <w:spacing w:before="240" w:after="240"/>
        <w:outlineLvl w:val="0"/>
        <w:rPr>
          <w:rFonts w:hint="eastAsia" w:hAnsi="黑体" w:cs="黑体"/>
          <w:szCs w:val="21"/>
        </w:rPr>
      </w:pPr>
      <w:r>
        <w:rPr>
          <w:rFonts w:hint="eastAsia" w:hAnsi="黑体" w:cs="黑体"/>
          <w:szCs w:val="21"/>
        </w:rPr>
        <w:t xml:space="preserve">  </w:t>
      </w:r>
      <w:bookmarkStart w:id="76" w:name="_Toc21358"/>
      <w:bookmarkStart w:id="77" w:name="_Toc12926"/>
      <w:bookmarkStart w:id="78" w:name="_Toc30408"/>
      <w:r>
        <w:rPr>
          <w:rFonts w:hint="eastAsia" w:hAnsi="黑体" w:cs="黑体"/>
          <w:szCs w:val="21"/>
        </w:rPr>
        <w:t>评价程序</w:t>
      </w:r>
      <w:bookmarkEnd w:id="76"/>
      <w:bookmarkEnd w:id="77"/>
      <w:bookmarkEnd w:id="78"/>
    </w:p>
    <w:p w14:paraId="38B1CF90">
      <w:pPr>
        <w:numPr>
          <w:ilvl w:val="1"/>
          <w:numId w:val="5"/>
        </w:numPr>
        <w:spacing w:before="120" w:beforeLines="50" w:after="120" w:afterLines="50"/>
        <w:outlineLvl w:val="1"/>
        <w:rPr>
          <w:rFonts w:hint="eastAsia" w:ascii="黑体" w:hAnsi="黑体" w:eastAsia="黑体" w:cs="黑体"/>
          <w:szCs w:val="21"/>
        </w:rPr>
      </w:pPr>
      <w:r>
        <w:rPr>
          <w:rFonts w:hint="eastAsia" w:ascii="黑体" w:hAnsi="黑体" w:eastAsia="黑体" w:cs="黑体"/>
          <w:szCs w:val="21"/>
        </w:rPr>
        <w:t xml:space="preserve">  </w:t>
      </w:r>
      <w:bookmarkStart w:id="79" w:name="_Toc1668380538"/>
      <w:bookmarkStart w:id="80" w:name="_Toc10384"/>
      <w:bookmarkStart w:id="81" w:name="_Toc563"/>
      <w:bookmarkStart w:id="82" w:name="_Toc67455357"/>
      <w:r>
        <w:rPr>
          <w:rFonts w:hint="eastAsia" w:ascii="黑体" w:hAnsi="黑体" w:eastAsia="黑体" w:cs="黑体"/>
          <w:szCs w:val="21"/>
        </w:rPr>
        <w:t>申请要求</w:t>
      </w:r>
      <w:bookmarkEnd w:id="79"/>
      <w:bookmarkEnd w:id="80"/>
      <w:bookmarkEnd w:id="81"/>
    </w:p>
    <w:p w14:paraId="1874A760">
      <w:pPr>
        <w:pStyle w:val="228"/>
        <w:ind w:firstLine="420"/>
      </w:pPr>
      <w:r>
        <w:rPr>
          <w:rFonts w:hint="eastAsia"/>
        </w:rPr>
        <w:t>申请产业园区物业服务质量评价的物业管理项目应</w:t>
      </w:r>
      <w:r>
        <w:rPr>
          <w:rFonts w:hint="eastAsia"/>
          <w:lang w:val="en-US" w:eastAsia="zh-CN"/>
        </w:rPr>
        <w:t>满足下列要求</w:t>
      </w:r>
      <w:r>
        <w:rPr>
          <w:rFonts w:hint="eastAsia"/>
        </w:rPr>
        <w:t>：</w:t>
      </w:r>
    </w:p>
    <w:p w14:paraId="4E45BC1B">
      <w:pPr>
        <w:numPr>
          <w:ilvl w:val="0"/>
          <w:numId w:val="7"/>
        </w:numPr>
        <w:ind w:left="840" w:leftChars="200" w:hanging="420" w:hangingChars="200"/>
        <w:rPr>
          <w:rFonts w:hint="eastAsia" w:ascii="宋体" w:hAnsi="宋体"/>
          <w:color w:val="000000"/>
          <w:szCs w:val="21"/>
        </w:rPr>
      </w:pPr>
      <w:r>
        <w:rPr>
          <w:rFonts w:hint="eastAsia" w:ascii="宋体" w:hAnsi="宋体"/>
          <w:color w:val="000000"/>
          <w:szCs w:val="21"/>
        </w:rPr>
        <w:t>竣工验收合格，取得规划、消防、环保等主管部门出具的认可或者准许使用的文件，并经建设行政主管部门备案，且投入使用满一年以上；</w:t>
      </w:r>
    </w:p>
    <w:p w14:paraId="644E346B">
      <w:pPr>
        <w:numPr>
          <w:ilvl w:val="0"/>
          <w:numId w:val="7"/>
        </w:numPr>
        <w:ind w:left="840" w:leftChars="200" w:hanging="420" w:hangingChars="200"/>
        <w:rPr>
          <w:rFonts w:hint="eastAsia" w:ascii="宋体" w:hAnsi="宋体"/>
          <w:color w:val="000000"/>
          <w:szCs w:val="21"/>
        </w:rPr>
      </w:pPr>
      <w:r>
        <w:rPr>
          <w:rFonts w:hint="eastAsia" w:ascii="宋体" w:hAnsi="宋体"/>
          <w:color w:val="000000"/>
          <w:szCs w:val="21"/>
        </w:rPr>
        <w:t>建设、设计图纸及技术资料档案，完整合规；</w:t>
      </w:r>
    </w:p>
    <w:p w14:paraId="273DDA31">
      <w:pPr>
        <w:numPr>
          <w:ilvl w:val="0"/>
          <w:numId w:val="7"/>
        </w:numPr>
        <w:ind w:left="840" w:leftChars="200" w:hanging="420" w:hangingChars="200"/>
        <w:rPr>
          <w:rFonts w:hint="eastAsia" w:ascii="宋体" w:hAnsi="宋体"/>
          <w:color w:val="000000"/>
          <w:szCs w:val="21"/>
        </w:rPr>
      </w:pPr>
      <w:r>
        <w:rPr>
          <w:rFonts w:hint="eastAsia" w:ascii="宋体" w:hAnsi="宋体"/>
          <w:color w:val="000000"/>
          <w:szCs w:val="21"/>
        </w:rPr>
        <w:t>三年内无重大安全责任事故；</w:t>
      </w:r>
    </w:p>
    <w:p w14:paraId="0AE8642B">
      <w:pPr>
        <w:numPr>
          <w:ilvl w:val="0"/>
          <w:numId w:val="7"/>
        </w:numPr>
        <w:ind w:left="840" w:leftChars="200" w:hanging="420" w:hangingChars="200"/>
        <w:rPr>
          <w:rFonts w:hint="eastAsia" w:ascii="宋体" w:hAnsi="宋体"/>
          <w:color w:val="000000"/>
          <w:szCs w:val="21"/>
        </w:rPr>
      </w:pPr>
      <w:r>
        <w:rPr>
          <w:rFonts w:hint="eastAsia" w:ascii="宋体" w:hAnsi="宋体"/>
          <w:color w:val="000000"/>
          <w:szCs w:val="21"/>
        </w:rPr>
        <w:t>实施专业、统一的</w:t>
      </w:r>
      <w:r>
        <w:rPr>
          <w:rFonts w:hint="eastAsia" w:ascii="宋体" w:hAnsi="宋体"/>
          <w:color w:val="000000"/>
          <w:szCs w:val="21"/>
          <w:lang w:eastAsia="zh-CN"/>
        </w:rPr>
        <w:t>物业服务</w:t>
      </w:r>
      <w:r>
        <w:rPr>
          <w:rFonts w:hint="eastAsia" w:ascii="宋体" w:hAnsi="宋体"/>
          <w:color w:val="000000"/>
          <w:szCs w:val="21"/>
        </w:rPr>
        <w:t>，依法签订物业服务合同，物业管理业务范围应至少包含客户服务、房屋及设施设备管理、秩序维护管理、环境管理。</w:t>
      </w:r>
    </w:p>
    <w:p w14:paraId="10577B59">
      <w:pPr>
        <w:numPr>
          <w:ilvl w:val="1"/>
          <w:numId w:val="5"/>
        </w:numPr>
        <w:spacing w:before="120" w:beforeLines="50" w:after="120" w:afterLines="50"/>
        <w:outlineLvl w:val="1"/>
        <w:rPr>
          <w:rFonts w:hint="eastAsia" w:ascii="黑体" w:hAnsi="黑体" w:eastAsia="黑体" w:cs="黑体"/>
          <w:szCs w:val="21"/>
        </w:rPr>
      </w:pPr>
      <w:r>
        <w:rPr>
          <w:rFonts w:hint="eastAsia" w:ascii="黑体" w:hAnsi="黑体" w:eastAsia="黑体" w:cs="黑体"/>
          <w:szCs w:val="21"/>
        </w:rPr>
        <w:t xml:space="preserve">  </w:t>
      </w:r>
      <w:bookmarkStart w:id="83" w:name="_Toc20670"/>
      <w:bookmarkStart w:id="84" w:name="_Toc31305"/>
      <w:bookmarkStart w:id="85" w:name="_Toc777723287"/>
      <w:r>
        <w:rPr>
          <w:rFonts w:hint="eastAsia" w:ascii="黑体" w:hAnsi="黑体" w:eastAsia="黑体" w:cs="黑体"/>
          <w:szCs w:val="21"/>
        </w:rPr>
        <w:t>评价准备</w:t>
      </w:r>
      <w:bookmarkEnd w:id="82"/>
      <w:bookmarkEnd w:id="83"/>
      <w:bookmarkEnd w:id="84"/>
      <w:bookmarkEnd w:id="85"/>
    </w:p>
    <w:p w14:paraId="0723C1E1">
      <w:pPr>
        <w:pStyle w:val="227"/>
        <w:numPr>
          <w:ilvl w:val="3"/>
          <w:numId w:val="0"/>
        </w:numPr>
        <w:spacing w:before="120" w:after="120"/>
        <w:rPr>
          <w:color w:val="auto"/>
        </w:rPr>
      </w:pPr>
      <w:bookmarkStart w:id="86" w:name="_Toc1998303130"/>
      <w:bookmarkStart w:id="87" w:name="_Toc74426329"/>
      <w:bookmarkStart w:id="88" w:name="_Toc1609808967"/>
      <w:r>
        <w:rPr>
          <w:rFonts w:hint="eastAsia"/>
        </w:rPr>
        <w:t xml:space="preserve">8.2.1  </w:t>
      </w:r>
      <w:r>
        <w:rPr>
          <w:rFonts w:hint="eastAsia"/>
          <w:color w:val="auto"/>
        </w:rPr>
        <w:t>组织准备</w:t>
      </w:r>
      <w:bookmarkEnd w:id="86"/>
      <w:bookmarkEnd w:id="87"/>
      <w:bookmarkEnd w:id="88"/>
    </w:p>
    <w:p w14:paraId="01D17F3A">
      <w:pPr>
        <w:pStyle w:val="225"/>
        <w:numPr>
          <w:ilvl w:val="4"/>
          <w:numId w:val="0"/>
        </w:numPr>
        <w:rPr>
          <w:color w:val="auto"/>
        </w:rPr>
      </w:pPr>
      <w:r>
        <w:rPr>
          <w:rFonts w:hint="eastAsia" w:ascii="黑体" w:eastAsia="黑体"/>
          <w:color w:val="auto"/>
        </w:rPr>
        <w:t xml:space="preserve">8.2.1.1 </w:t>
      </w:r>
      <w:r>
        <w:rPr>
          <w:rFonts w:hint="eastAsia" w:ascii="宋体" w:hAnsi="宋体" w:eastAsia="宋体" w:cs="宋体"/>
          <w:color w:val="auto"/>
          <w:lang w:val="en-US" w:eastAsia="zh-CN"/>
        </w:rPr>
        <w:t>应</w:t>
      </w:r>
      <w:r>
        <w:rPr>
          <w:rFonts w:hint="eastAsia"/>
          <w:color w:val="auto"/>
        </w:rPr>
        <w:t>根据评价目的和实际情况，确定评价对象的范围、评价周期和方式，成立评价工作组，并明确职责、分工及保密要求等。</w:t>
      </w:r>
    </w:p>
    <w:p w14:paraId="5D0A872C">
      <w:pPr>
        <w:pStyle w:val="225"/>
        <w:numPr>
          <w:ilvl w:val="4"/>
          <w:numId w:val="0"/>
        </w:numPr>
        <w:rPr>
          <w:color w:val="auto"/>
        </w:rPr>
      </w:pPr>
      <w:r>
        <w:rPr>
          <w:rFonts w:hint="eastAsia" w:ascii="黑体" w:eastAsia="黑体"/>
          <w:color w:val="auto"/>
        </w:rPr>
        <w:t xml:space="preserve">8.2.1.2 </w:t>
      </w:r>
      <w:r>
        <w:rPr>
          <w:rFonts w:hint="eastAsia"/>
          <w:color w:val="auto"/>
        </w:rPr>
        <w:t>评价工作组结构宜考虑行业主管部门、物业管理方以及物业管理行业专家；根据评价工作量和复杂程度确定工作组人员数量，人数不应少于3人。</w:t>
      </w:r>
    </w:p>
    <w:p w14:paraId="77F0782D">
      <w:pPr>
        <w:spacing w:before="120" w:beforeLines="50" w:after="120" w:afterLines="50"/>
        <w:outlineLvl w:val="2"/>
        <w:rPr>
          <w:rFonts w:hint="eastAsia" w:ascii="黑体" w:hAnsi="黑体" w:eastAsia="黑体" w:cs="黑体"/>
          <w:color w:val="auto"/>
          <w:szCs w:val="21"/>
        </w:rPr>
      </w:pPr>
      <w:bookmarkStart w:id="89" w:name="_Toc2060323463"/>
      <w:bookmarkStart w:id="90" w:name="_Toc15335"/>
      <w:bookmarkStart w:id="91" w:name="_Toc1047828949"/>
      <w:bookmarkStart w:id="92" w:name="_Toc983950477"/>
      <w:r>
        <w:rPr>
          <w:rFonts w:hint="eastAsia" w:ascii="黑体" w:eastAsia="黑体"/>
          <w:color w:val="auto"/>
          <w:kern w:val="0"/>
          <w:szCs w:val="20"/>
        </w:rPr>
        <w:t>8.2.2</w:t>
      </w:r>
      <w:r>
        <w:rPr>
          <w:rFonts w:hint="eastAsia" w:ascii="黑体" w:hAnsi="黑体" w:eastAsia="黑体" w:cs="黑体"/>
          <w:color w:val="auto"/>
          <w:szCs w:val="21"/>
        </w:rPr>
        <w:t xml:space="preserve">  评价人员准备</w:t>
      </w:r>
      <w:bookmarkEnd w:id="89"/>
      <w:bookmarkEnd w:id="90"/>
      <w:bookmarkEnd w:id="91"/>
      <w:bookmarkEnd w:id="92"/>
    </w:p>
    <w:p w14:paraId="5F3F5B58">
      <w:pPr>
        <w:pStyle w:val="28"/>
        <w:rPr>
          <w:rFonts w:hint="eastAsia" w:hAnsi="黑体" w:cs="黑体"/>
          <w:color w:val="auto"/>
          <w:szCs w:val="21"/>
        </w:rPr>
      </w:pPr>
      <w:r>
        <w:rPr>
          <w:rFonts w:hint="eastAsia" w:hAnsi="黑体" w:cs="黑体"/>
          <w:color w:val="auto"/>
          <w:szCs w:val="21"/>
        </w:rPr>
        <w:t>评价组成员应具备以下条件：</w:t>
      </w:r>
    </w:p>
    <w:p w14:paraId="1CA028B2">
      <w:pPr>
        <w:numPr>
          <w:ilvl w:val="0"/>
          <w:numId w:val="8"/>
        </w:numPr>
        <w:ind w:left="840" w:leftChars="200" w:hanging="420" w:hangingChars="200"/>
        <w:rPr>
          <w:rFonts w:hint="eastAsia" w:ascii="宋体" w:hAnsi="宋体"/>
          <w:color w:val="auto"/>
          <w:szCs w:val="21"/>
        </w:rPr>
      </w:pPr>
      <w:r>
        <w:rPr>
          <w:rFonts w:hint="eastAsia" w:ascii="宋体" w:hAnsi="宋体"/>
          <w:color w:val="auto"/>
          <w:szCs w:val="21"/>
        </w:rPr>
        <w:t>坚持原则，实事求是，保守评价过程中涉及的商业秘密；</w:t>
      </w:r>
    </w:p>
    <w:p w14:paraId="4745F374">
      <w:pPr>
        <w:numPr>
          <w:ilvl w:val="0"/>
          <w:numId w:val="8"/>
        </w:numPr>
        <w:ind w:left="840" w:leftChars="200" w:hanging="420" w:hangingChars="200"/>
        <w:rPr>
          <w:rFonts w:hint="eastAsia" w:ascii="宋体" w:hAnsi="宋体"/>
          <w:color w:val="auto"/>
          <w:szCs w:val="21"/>
        </w:rPr>
      </w:pPr>
      <w:r>
        <w:rPr>
          <w:rFonts w:hint="eastAsia" w:ascii="宋体" w:hAnsi="宋体"/>
          <w:color w:val="auto"/>
          <w:szCs w:val="21"/>
        </w:rPr>
        <w:t>具有中级技术职称或与中级技术职称相对应的职务，了解物业管理行业特点；</w:t>
      </w:r>
    </w:p>
    <w:p w14:paraId="61998B38">
      <w:pPr>
        <w:numPr>
          <w:ilvl w:val="0"/>
          <w:numId w:val="8"/>
        </w:numPr>
        <w:ind w:left="840" w:leftChars="200" w:hanging="420" w:hangingChars="200"/>
        <w:rPr>
          <w:rFonts w:hint="eastAsia" w:ascii="宋体" w:hAnsi="宋体"/>
          <w:color w:val="auto"/>
          <w:szCs w:val="21"/>
        </w:rPr>
      </w:pPr>
      <w:r>
        <w:rPr>
          <w:rFonts w:hint="eastAsia" w:ascii="宋体" w:hAnsi="宋体"/>
          <w:color w:val="auto"/>
          <w:szCs w:val="21"/>
        </w:rPr>
        <w:t>经过相应的培训，熟知评价的有关要求，掌握并熟练运用评价方法；</w:t>
      </w:r>
    </w:p>
    <w:p w14:paraId="5A7EDAA1">
      <w:pPr>
        <w:numPr>
          <w:ilvl w:val="0"/>
          <w:numId w:val="8"/>
        </w:numPr>
        <w:ind w:left="840" w:leftChars="200" w:hanging="420" w:hangingChars="200"/>
        <w:rPr>
          <w:rFonts w:hint="eastAsia" w:ascii="宋体" w:hAnsi="宋体"/>
          <w:color w:val="auto"/>
          <w:szCs w:val="21"/>
        </w:rPr>
      </w:pPr>
      <w:r>
        <w:rPr>
          <w:rFonts w:hint="eastAsia" w:ascii="宋体" w:hAnsi="宋体"/>
          <w:color w:val="auto"/>
          <w:szCs w:val="21"/>
        </w:rPr>
        <w:t>至少有1名具备从事物业服务工作的行业专业人员；</w:t>
      </w:r>
    </w:p>
    <w:p w14:paraId="4F9632EC">
      <w:pPr>
        <w:numPr>
          <w:ilvl w:val="0"/>
          <w:numId w:val="8"/>
        </w:numPr>
        <w:ind w:left="840" w:leftChars="200" w:hanging="420" w:hangingChars="200"/>
        <w:rPr>
          <w:rFonts w:hint="eastAsia" w:ascii="宋体" w:hAnsi="宋体"/>
          <w:color w:val="auto"/>
          <w:szCs w:val="21"/>
        </w:rPr>
      </w:pPr>
      <w:r>
        <w:rPr>
          <w:rFonts w:hint="eastAsia" w:ascii="宋体" w:hAnsi="宋体"/>
          <w:color w:val="auto"/>
          <w:szCs w:val="21"/>
        </w:rPr>
        <w:t>与被评价单位无利害关系，实行回避制度。</w:t>
      </w:r>
    </w:p>
    <w:p w14:paraId="502C58CE">
      <w:pPr>
        <w:spacing w:before="120" w:beforeLines="50" w:after="120" w:afterLines="50"/>
        <w:outlineLvl w:val="2"/>
        <w:rPr>
          <w:rFonts w:hint="eastAsia" w:ascii="黑体" w:hAnsi="黑体" w:eastAsia="黑体" w:cs="黑体"/>
          <w:color w:val="auto"/>
          <w:szCs w:val="21"/>
        </w:rPr>
      </w:pPr>
      <w:bookmarkStart w:id="93" w:name="_Toc1830118413"/>
      <w:bookmarkStart w:id="94" w:name="_Toc0"/>
      <w:bookmarkStart w:id="95" w:name="_Toc1495240443"/>
      <w:bookmarkStart w:id="96" w:name="_Toc1631585039"/>
      <w:r>
        <w:rPr>
          <w:rFonts w:hint="eastAsia" w:ascii="黑体" w:eastAsia="黑体"/>
          <w:color w:val="auto"/>
          <w:kern w:val="0"/>
          <w:szCs w:val="20"/>
        </w:rPr>
        <w:t>8.2.3</w:t>
      </w:r>
      <w:r>
        <w:rPr>
          <w:rFonts w:hint="eastAsia" w:ascii="黑体" w:hAnsi="黑体" w:eastAsia="黑体" w:cs="黑体"/>
          <w:color w:val="auto"/>
          <w:szCs w:val="21"/>
        </w:rPr>
        <w:t xml:space="preserve">  评价技术准备</w:t>
      </w:r>
      <w:bookmarkEnd w:id="93"/>
      <w:bookmarkEnd w:id="94"/>
      <w:bookmarkEnd w:id="95"/>
      <w:bookmarkEnd w:id="96"/>
    </w:p>
    <w:p w14:paraId="5057C534">
      <w:pPr>
        <w:pStyle w:val="225"/>
        <w:numPr>
          <w:ilvl w:val="4"/>
          <w:numId w:val="0"/>
        </w:numPr>
        <w:rPr>
          <w:color w:val="auto"/>
        </w:rPr>
      </w:pPr>
      <w:r>
        <w:rPr>
          <w:rFonts w:hint="eastAsia" w:ascii="黑体" w:hAnsi="黑体" w:eastAsia="黑体" w:cs="黑体"/>
          <w:color w:val="auto"/>
        </w:rPr>
        <w:t xml:space="preserve">8.2.3.1  </w:t>
      </w:r>
      <w:r>
        <w:rPr>
          <w:rFonts w:hint="eastAsia"/>
          <w:color w:val="auto"/>
        </w:rPr>
        <w:t>根据评价目的及评价实际情况，</w:t>
      </w:r>
      <w:r>
        <w:rPr>
          <w:rFonts w:hint="eastAsia"/>
          <w:color w:val="auto"/>
          <w:lang w:val="en-US" w:eastAsia="zh-CN"/>
        </w:rPr>
        <w:t>应</w:t>
      </w:r>
      <w:r>
        <w:rPr>
          <w:rFonts w:hint="eastAsia"/>
          <w:color w:val="auto"/>
        </w:rPr>
        <w:t>确定评价工作的总体安排，形成评价方案。评价方案的内容包含：</w:t>
      </w:r>
    </w:p>
    <w:p w14:paraId="52354B15">
      <w:pPr>
        <w:numPr>
          <w:ilvl w:val="0"/>
          <w:numId w:val="9"/>
        </w:numPr>
        <w:ind w:firstLine="420" w:firstLineChars="200"/>
        <w:rPr>
          <w:rFonts w:hint="eastAsia" w:ascii="宋体" w:hAnsi="宋体"/>
          <w:color w:val="000000"/>
          <w:szCs w:val="21"/>
        </w:rPr>
      </w:pPr>
      <w:r>
        <w:rPr>
          <w:rFonts w:hint="eastAsia" w:ascii="宋体" w:hAnsi="宋体"/>
          <w:color w:val="000000"/>
          <w:szCs w:val="21"/>
        </w:rPr>
        <w:t>评价的时间周期；</w:t>
      </w:r>
    </w:p>
    <w:p w14:paraId="618E53BF">
      <w:pPr>
        <w:numPr>
          <w:ilvl w:val="0"/>
          <w:numId w:val="9"/>
        </w:numPr>
        <w:ind w:firstLine="420" w:firstLineChars="200"/>
        <w:rPr>
          <w:rFonts w:hint="eastAsia" w:ascii="宋体" w:hAnsi="宋体"/>
          <w:color w:val="000000"/>
          <w:szCs w:val="21"/>
        </w:rPr>
      </w:pPr>
      <w:r>
        <w:rPr>
          <w:rFonts w:hint="eastAsia" w:ascii="宋体" w:hAnsi="宋体"/>
          <w:color w:val="000000"/>
          <w:szCs w:val="21"/>
        </w:rPr>
        <w:t>评价的业务内容；</w:t>
      </w:r>
    </w:p>
    <w:p w14:paraId="2C2FAE8A">
      <w:pPr>
        <w:numPr>
          <w:ilvl w:val="0"/>
          <w:numId w:val="9"/>
        </w:numPr>
        <w:ind w:firstLine="420" w:firstLineChars="200"/>
        <w:rPr>
          <w:rFonts w:hint="eastAsia" w:ascii="宋体" w:hAnsi="宋体"/>
          <w:color w:val="000000"/>
          <w:szCs w:val="21"/>
        </w:rPr>
      </w:pPr>
      <w:r>
        <w:rPr>
          <w:rFonts w:hint="eastAsia" w:ascii="宋体" w:hAnsi="宋体"/>
          <w:color w:val="000000"/>
          <w:szCs w:val="21"/>
        </w:rPr>
        <w:t>评价的服务区域；</w:t>
      </w:r>
    </w:p>
    <w:p w14:paraId="3C47AA0B">
      <w:pPr>
        <w:numPr>
          <w:ilvl w:val="0"/>
          <w:numId w:val="9"/>
        </w:numPr>
        <w:ind w:firstLine="420" w:firstLineChars="200"/>
        <w:rPr>
          <w:rFonts w:hint="eastAsia" w:ascii="宋体" w:hAnsi="宋体"/>
          <w:color w:val="000000"/>
          <w:szCs w:val="21"/>
        </w:rPr>
      </w:pPr>
      <w:r>
        <w:rPr>
          <w:rFonts w:hint="eastAsia" w:ascii="宋体" w:hAnsi="宋体"/>
          <w:color w:val="000000"/>
          <w:szCs w:val="21"/>
        </w:rPr>
        <w:t>评价工作组信息；</w:t>
      </w:r>
    </w:p>
    <w:p w14:paraId="24532D88">
      <w:pPr>
        <w:numPr>
          <w:ilvl w:val="0"/>
          <w:numId w:val="9"/>
        </w:numPr>
        <w:ind w:firstLine="420" w:firstLineChars="200"/>
        <w:rPr>
          <w:rFonts w:hint="eastAsia" w:ascii="宋体" w:hAnsi="宋体"/>
          <w:color w:val="000000"/>
          <w:szCs w:val="21"/>
        </w:rPr>
      </w:pPr>
      <w:r>
        <w:rPr>
          <w:rFonts w:hint="eastAsia" w:ascii="宋体" w:hAnsi="宋体"/>
          <w:color w:val="000000"/>
          <w:szCs w:val="21"/>
        </w:rPr>
        <w:t>取样的比例；</w:t>
      </w:r>
    </w:p>
    <w:p w14:paraId="26068377">
      <w:pPr>
        <w:numPr>
          <w:ilvl w:val="0"/>
          <w:numId w:val="9"/>
        </w:numPr>
        <w:ind w:firstLine="420" w:firstLineChars="200"/>
        <w:rPr>
          <w:rFonts w:hint="eastAsia" w:ascii="宋体" w:hAnsi="宋体"/>
          <w:color w:val="000000"/>
          <w:szCs w:val="21"/>
        </w:rPr>
      </w:pPr>
      <w:r>
        <w:rPr>
          <w:rFonts w:hint="eastAsia" w:ascii="宋体" w:hAnsi="宋体"/>
          <w:color w:val="000000"/>
          <w:szCs w:val="21"/>
        </w:rPr>
        <w:t>评价实施的计划安排；</w:t>
      </w:r>
    </w:p>
    <w:p w14:paraId="62EE2387">
      <w:pPr>
        <w:numPr>
          <w:ilvl w:val="0"/>
          <w:numId w:val="9"/>
        </w:numPr>
        <w:ind w:firstLine="420" w:firstLineChars="200"/>
        <w:rPr>
          <w:rFonts w:hint="eastAsia" w:ascii="宋体" w:hAnsi="宋体"/>
          <w:color w:val="000000"/>
          <w:szCs w:val="21"/>
        </w:rPr>
      </w:pPr>
      <w:r>
        <w:rPr>
          <w:rFonts w:hint="eastAsia" w:ascii="宋体" w:hAnsi="宋体"/>
          <w:color w:val="000000"/>
          <w:szCs w:val="21"/>
        </w:rPr>
        <w:t>评价实施的程序细则；</w:t>
      </w:r>
    </w:p>
    <w:p w14:paraId="64D5CDD4">
      <w:pPr>
        <w:numPr>
          <w:ilvl w:val="0"/>
          <w:numId w:val="9"/>
        </w:numPr>
        <w:ind w:firstLine="420" w:firstLineChars="200"/>
        <w:rPr>
          <w:color w:val="auto"/>
        </w:rPr>
      </w:pPr>
      <w:r>
        <w:rPr>
          <w:rFonts w:hint="eastAsia" w:ascii="宋体" w:hAnsi="宋体"/>
          <w:color w:val="000000"/>
          <w:szCs w:val="21"/>
        </w:rPr>
        <w:t>评价结果公布</w:t>
      </w:r>
      <w:r>
        <w:rPr>
          <w:rFonts w:hint="eastAsia" w:ascii="宋体" w:hAnsi="宋体"/>
          <w:color w:val="auto"/>
          <w:szCs w:val="21"/>
        </w:rPr>
        <w:t>的范围。</w:t>
      </w:r>
    </w:p>
    <w:p w14:paraId="79462B68">
      <w:pPr>
        <w:rPr>
          <w:color w:val="auto"/>
        </w:rPr>
      </w:pPr>
      <w:r>
        <w:rPr>
          <w:rFonts w:hint="eastAsia" w:ascii="黑体" w:hAnsi="黑体" w:eastAsia="黑体" w:cs="黑体"/>
          <w:color w:val="auto"/>
          <w:kern w:val="0"/>
          <w:szCs w:val="20"/>
        </w:rPr>
        <w:t xml:space="preserve">8.2.3.2  </w:t>
      </w:r>
      <w:r>
        <w:rPr>
          <w:rFonts w:hint="eastAsia"/>
          <w:color w:val="auto"/>
        </w:rPr>
        <w:t>针对评价工作组人员，</w:t>
      </w:r>
      <w:r>
        <w:rPr>
          <w:rFonts w:hint="eastAsia"/>
          <w:color w:val="auto"/>
          <w:lang w:val="en-US" w:eastAsia="zh-CN"/>
        </w:rPr>
        <w:t>宜</w:t>
      </w:r>
      <w:r>
        <w:rPr>
          <w:rFonts w:hint="eastAsia"/>
          <w:color w:val="auto"/>
        </w:rPr>
        <w:t>开展评价培训，包括评价标准的理解、评价方法和应用、沟通和反馈技巧等，以及与开展评价相关的内容。</w:t>
      </w:r>
    </w:p>
    <w:p w14:paraId="13FC3C7B">
      <w:pPr>
        <w:pStyle w:val="225"/>
        <w:numPr>
          <w:ilvl w:val="4"/>
          <w:numId w:val="0"/>
        </w:numPr>
        <w:rPr>
          <w:color w:val="auto"/>
        </w:rPr>
      </w:pPr>
      <w:r>
        <w:rPr>
          <w:rFonts w:hint="eastAsia" w:ascii="黑体" w:hAnsi="黑体" w:eastAsia="黑体" w:cs="黑体"/>
          <w:color w:val="auto"/>
        </w:rPr>
        <w:t xml:space="preserve">8.2.3.3 </w:t>
      </w:r>
      <w:r>
        <w:rPr>
          <w:rFonts w:hint="eastAsia" w:ascii="宋体" w:hAnsi="宋体" w:eastAsia="宋体" w:cs="宋体"/>
          <w:color w:val="auto"/>
        </w:rPr>
        <w:t xml:space="preserve"> </w:t>
      </w:r>
      <w:r>
        <w:rPr>
          <w:rFonts w:hint="eastAsia" w:ascii="宋体" w:hAnsi="宋体" w:eastAsia="宋体" w:cs="宋体"/>
          <w:color w:val="auto"/>
          <w:lang w:val="en-US" w:eastAsia="zh-CN"/>
        </w:rPr>
        <w:t>应</w:t>
      </w:r>
      <w:r>
        <w:rPr>
          <w:rFonts w:hint="eastAsia"/>
          <w:color w:val="auto"/>
        </w:rPr>
        <w:t>配备开展评价必要的测量设备、工具、试验用品以及评价记录表等。</w:t>
      </w:r>
    </w:p>
    <w:p w14:paraId="4EA8EC5C">
      <w:pPr>
        <w:numPr>
          <w:ilvl w:val="1"/>
          <w:numId w:val="5"/>
        </w:numPr>
        <w:spacing w:before="120" w:beforeLines="50" w:after="120" w:afterLines="50"/>
        <w:outlineLvl w:val="1"/>
        <w:rPr>
          <w:rFonts w:hint="eastAsia" w:ascii="黑体" w:hAnsi="黑体" w:eastAsia="黑体" w:cs="黑体"/>
          <w:color w:val="auto"/>
          <w:szCs w:val="21"/>
        </w:rPr>
      </w:pPr>
      <w:r>
        <w:rPr>
          <w:rFonts w:hint="eastAsia" w:ascii="黑体" w:hAnsi="黑体" w:eastAsia="黑体" w:cs="黑体"/>
          <w:color w:val="auto"/>
          <w:szCs w:val="21"/>
        </w:rPr>
        <w:t xml:space="preserve">  </w:t>
      </w:r>
      <w:bookmarkStart w:id="97" w:name="_Toc391891310"/>
      <w:bookmarkStart w:id="98" w:name="_Toc22322"/>
      <w:bookmarkStart w:id="99" w:name="_Toc831061930"/>
      <w:bookmarkStart w:id="100" w:name="_Toc20715"/>
      <w:r>
        <w:rPr>
          <w:rFonts w:hint="eastAsia" w:ascii="黑体" w:hAnsi="黑体" w:eastAsia="黑体" w:cs="黑体"/>
          <w:color w:val="auto"/>
          <w:szCs w:val="21"/>
        </w:rPr>
        <w:t>评价实施</w:t>
      </w:r>
      <w:bookmarkEnd w:id="97"/>
      <w:bookmarkEnd w:id="98"/>
      <w:bookmarkEnd w:id="99"/>
      <w:bookmarkEnd w:id="100"/>
    </w:p>
    <w:p w14:paraId="41806FAC">
      <w:pPr>
        <w:pStyle w:val="28"/>
        <w:spacing w:line="360" w:lineRule="auto"/>
        <w:ind w:firstLine="0" w:firstLineChars="0"/>
        <w:outlineLvl w:val="2"/>
        <w:rPr>
          <w:rFonts w:hint="default" w:ascii="黑体" w:hAnsi="黑体" w:eastAsia="黑体" w:cs="黑体"/>
          <w:color w:val="auto"/>
          <w:szCs w:val="21"/>
          <w:lang w:val="en-US" w:eastAsia="zh-CN"/>
        </w:rPr>
      </w:pPr>
      <w:bookmarkStart w:id="101" w:name="_Toc21944"/>
      <w:bookmarkStart w:id="102" w:name="_Toc424217422"/>
      <w:bookmarkStart w:id="103" w:name="_Toc1319474167"/>
      <w:bookmarkStart w:id="104" w:name="_Toc184901821"/>
      <w:r>
        <w:rPr>
          <w:rFonts w:hint="eastAsia" w:ascii="黑体" w:hAnsi="黑体" w:eastAsia="黑体" w:cs="黑体"/>
          <w:color w:val="auto"/>
          <w:szCs w:val="21"/>
        </w:rPr>
        <w:t xml:space="preserve">8.3.1  </w:t>
      </w:r>
      <w:bookmarkEnd w:id="101"/>
      <w:bookmarkEnd w:id="102"/>
      <w:bookmarkEnd w:id="103"/>
      <w:bookmarkEnd w:id="104"/>
      <w:r>
        <w:rPr>
          <w:rFonts w:hint="eastAsia" w:ascii="黑体" w:hAnsi="黑体" w:eastAsia="黑体" w:cs="黑体"/>
          <w:color w:val="auto"/>
          <w:szCs w:val="21"/>
          <w:lang w:val="en-US" w:eastAsia="zh-CN"/>
        </w:rPr>
        <w:t>评价启动</w:t>
      </w:r>
    </w:p>
    <w:p w14:paraId="7748E2B0">
      <w:pPr>
        <w:pStyle w:val="28"/>
        <w:ind w:firstLine="0" w:firstLineChars="0"/>
        <w:rPr>
          <w:rFonts w:hint="eastAsia" w:hAnsi="黑体" w:cs="黑体"/>
          <w:color w:val="auto"/>
          <w:szCs w:val="21"/>
        </w:rPr>
      </w:pPr>
      <w:r>
        <w:rPr>
          <w:rFonts w:hint="eastAsia" w:ascii="黑体" w:hAnsi="黑体" w:eastAsia="黑体" w:cs="黑体"/>
          <w:color w:val="auto"/>
        </w:rPr>
        <w:t>8.3.1.1</w:t>
      </w:r>
      <w:r>
        <w:rPr>
          <w:rFonts w:hint="eastAsia" w:hAnsi="黑体" w:cs="黑体"/>
          <w:color w:val="auto"/>
          <w:szCs w:val="21"/>
        </w:rPr>
        <w:t xml:space="preserve"> </w:t>
      </w:r>
      <w:r>
        <w:rPr>
          <w:rFonts w:hint="eastAsia" w:hAnsi="黑体" w:cs="黑体"/>
          <w:color w:val="auto"/>
          <w:szCs w:val="21"/>
          <w:lang w:val="en-US" w:eastAsia="zh-CN"/>
        </w:rPr>
        <w:t>应召开</w:t>
      </w:r>
      <w:r>
        <w:rPr>
          <w:rFonts w:hint="eastAsia" w:hAnsi="黑体" w:cs="黑体"/>
          <w:color w:val="auto"/>
          <w:szCs w:val="21"/>
        </w:rPr>
        <w:t>首次会议</w:t>
      </w:r>
      <w:r>
        <w:rPr>
          <w:rFonts w:hint="eastAsia" w:hAnsi="黑体" w:cs="黑体"/>
          <w:color w:val="auto"/>
          <w:szCs w:val="21"/>
          <w:lang w:val="en-US" w:eastAsia="zh-CN"/>
        </w:rPr>
        <w:t>启动评价工作。首次会议</w:t>
      </w:r>
      <w:r>
        <w:rPr>
          <w:rFonts w:hint="eastAsia" w:hAnsi="黑体" w:cs="黑体"/>
          <w:color w:val="auto"/>
          <w:szCs w:val="21"/>
        </w:rPr>
        <w:t>由评价工作组组织召开，被评价对象负责人及评价涉及相关成员参加。</w:t>
      </w:r>
    </w:p>
    <w:p w14:paraId="422D6589">
      <w:pPr>
        <w:pStyle w:val="28"/>
        <w:ind w:firstLine="0" w:firstLineChars="0"/>
        <w:rPr>
          <w:rFonts w:hint="eastAsia" w:hAnsi="黑体" w:cs="黑体"/>
          <w:color w:val="auto"/>
          <w:szCs w:val="21"/>
        </w:rPr>
      </w:pPr>
      <w:r>
        <w:rPr>
          <w:rFonts w:hint="eastAsia" w:ascii="黑体" w:hAnsi="黑体" w:eastAsia="黑体" w:cs="黑体"/>
          <w:color w:val="auto"/>
        </w:rPr>
        <w:t>8.3.1.2</w:t>
      </w:r>
      <w:r>
        <w:rPr>
          <w:rFonts w:hint="eastAsia" w:hAnsi="黑体" w:cs="黑体"/>
          <w:color w:val="auto"/>
          <w:szCs w:val="21"/>
        </w:rPr>
        <w:t xml:space="preserve"> 首次会议</w:t>
      </w:r>
      <w:r>
        <w:rPr>
          <w:rFonts w:hint="eastAsia" w:hAnsi="黑体" w:cs="黑体"/>
          <w:color w:val="auto"/>
          <w:szCs w:val="21"/>
          <w:lang w:val="en-US" w:eastAsia="zh-CN"/>
        </w:rPr>
        <w:t>应</w:t>
      </w:r>
      <w:r>
        <w:rPr>
          <w:rFonts w:hint="eastAsia" w:hAnsi="黑体" w:cs="黑体"/>
          <w:color w:val="auto"/>
          <w:szCs w:val="21"/>
        </w:rPr>
        <w:t>包括</w:t>
      </w:r>
      <w:r>
        <w:rPr>
          <w:rFonts w:hint="eastAsia" w:hAnsi="黑体" w:cs="黑体"/>
          <w:color w:val="auto"/>
          <w:szCs w:val="21"/>
          <w:lang w:val="en-US" w:eastAsia="zh-CN"/>
        </w:rPr>
        <w:t>下列</w:t>
      </w:r>
      <w:r>
        <w:rPr>
          <w:rFonts w:hint="eastAsia" w:hAnsi="黑体" w:cs="黑体"/>
          <w:color w:val="auto"/>
          <w:szCs w:val="21"/>
        </w:rPr>
        <w:t>内容：</w:t>
      </w:r>
    </w:p>
    <w:p w14:paraId="629D0C50">
      <w:pPr>
        <w:numPr>
          <w:ilvl w:val="0"/>
          <w:numId w:val="10"/>
        </w:numPr>
        <w:ind w:left="840" w:leftChars="200" w:hanging="420" w:hangingChars="200"/>
        <w:rPr>
          <w:rFonts w:hint="eastAsia" w:ascii="宋体" w:hAnsi="宋体"/>
          <w:color w:val="auto"/>
          <w:szCs w:val="21"/>
        </w:rPr>
      </w:pPr>
      <w:r>
        <w:rPr>
          <w:rFonts w:hint="eastAsia" w:ascii="宋体" w:hAnsi="宋体"/>
          <w:color w:val="auto"/>
          <w:szCs w:val="21"/>
        </w:rPr>
        <w:t>宣布评价方案，明确评价工作实施的安排，包括评价的目的、时间、范围、参与人员、计划安排等内容；</w:t>
      </w:r>
    </w:p>
    <w:p w14:paraId="3DEE4735">
      <w:pPr>
        <w:numPr>
          <w:ilvl w:val="0"/>
          <w:numId w:val="10"/>
        </w:numPr>
        <w:ind w:left="840" w:leftChars="200" w:hanging="420" w:hangingChars="200"/>
        <w:rPr>
          <w:rFonts w:hint="eastAsia" w:ascii="宋体" w:hAnsi="宋体"/>
          <w:color w:val="auto"/>
          <w:szCs w:val="21"/>
        </w:rPr>
      </w:pPr>
      <w:r>
        <w:rPr>
          <w:rFonts w:hint="eastAsia" w:ascii="宋体" w:hAnsi="宋体"/>
          <w:color w:val="auto"/>
          <w:szCs w:val="21"/>
        </w:rPr>
        <w:t>沟通确认评价实施所需的资源支持内容；</w:t>
      </w:r>
    </w:p>
    <w:p w14:paraId="792E968A">
      <w:pPr>
        <w:numPr>
          <w:ilvl w:val="0"/>
          <w:numId w:val="10"/>
        </w:numPr>
        <w:ind w:left="840" w:leftChars="200" w:hanging="420" w:hangingChars="200"/>
        <w:rPr>
          <w:rFonts w:hint="eastAsia" w:ascii="宋体" w:hAnsi="宋体"/>
          <w:color w:val="auto"/>
          <w:szCs w:val="21"/>
        </w:rPr>
      </w:pPr>
      <w:r>
        <w:rPr>
          <w:rFonts w:hint="eastAsia" w:ascii="宋体" w:hAnsi="宋体"/>
          <w:color w:val="auto"/>
          <w:szCs w:val="21"/>
        </w:rPr>
        <w:t>说明可能造成此次评价工作提前终止的情况；</w:t>
      </w:r>
    </w:p>
    <w:p w14:paraId="0B52279E">
      <w:pPr>
        <w:numPr>
          <w:ilvl w:val="0"/>
          <w:numId w:val="10"/>
        </w:numPr>
        <w:ind w:left="840" w:leftChars="200" w:hanging="420" w:hangingChars="200"/>
        <w:rPr>
          <w:rFonts w:hint="eastAsia" w:ascii="宋体" w:hAnsi="宋体"/>
          <w:color w:val="auto"/>
          <w:szCs w:val="21"/>
        </w:rPr>
      </w:pPr>
      <w:r>
        <w:rPr>
          <w:rFonts w:hint="eastAsia" w:ascii="宋体" w:hAnsi="宋体"/>
          <w:color w:val="auto"/>
          <w:szCs w:val="21"/>
        </w:rPr>
        <w:t>确认末次会议的时间、参会人员等信息；</w:t>
      </w:r>
    </w:p>
    <w:p w14:paraId="69C6990F">
      <w:pPr>
        <w:numPr>
          <w:ilvl w:val="0"/>
          <w:numId w:val="10"/>
        </w:numPr>
        <w:ind w:left="840" w:leftChars="200" w:hanging="420" w:hangingChars="200"/>
        <w:rPr>
          <w:rFonts w:hint="eastAsia" w:ascii="宋体" w:hAnsi="宋体"/>
          <w:color w:val="000000"/>
          <w:szCs w:val="21"/>
        </w:rPr>
      </w:pPr>
      <w:r>
        <w:rPr>
          <w:rFonts w:hint="eastAsia" w:ascii="宋体" w:hAnsi="宋体"/>
          <w:color w:val="auto"/>
          <w:szCs w:val="21"/>
        </w:rPr>
        <w:t>了解被评价对象的基本信息，包括</w:t>
      </w:r>
      <w:r>
        <w:rPr>
          <w:rFonts w:hint="eastAsia" w:ascii="宋体" w:hAnsi="宋体"/>
          <w:color w:val="000000"/>
          <w:szCs w:val="21"/>
        </w:rPr>
        <w:t>物业服务企业基本情况、物业服务工作开展情况。</w:t>
      </w:r>
    </w:p>
    <w:p w14:paraId="02EACB4A">
      <w:pPr>
        <w:pStyle w:val="28"/>
        <w:spacing w:line="360" w:lineRule="auto"/>
        <w:ind w:firstLine="0" w:firstLineChars="0"/>
        <w:outlineLvl w:val="2"/>
        <w:rPr>
          <w:rFonts w:hint="eastAsia" w:ascii="黑体" w:hAnsi="黑体" w:eastAsia="黑体" w:cs="黑体"/>
          <w:color w:val="000000"/>
          <w:szCs w:val="21"/>
        </w:rPr>
      </w:pPr>
      <w:bookmarkStart w:id="105" w:name="_Toc824"/>
      <w:bookmarkStart w:id="106" w:name="_Toc1486185847"/>
      <w:bookmarkStart w:id="107" w:name="_Toc236068338"/>
      <w:bookmarkStart w:id="108" w:name="_Toc176503514"/>
      <w:r>
        <w:rPr>
          <w:rFonts w:hint="eastAsia" w:ascii="黑体" w:hAnsi="黑体" w:eastAsia="黑体" w:cs="黑体"/>
          <w:color w:val="000000"/>
          <w:szCs w:val="21"/>
        </w:rPr>
        <w:t>8.3.2  评价开展</w:t>
      </w:r>
      <w:bookmarkEnd w:id="105"/>
      <w:bookmarkEnd w:id="106"/>
      <w:bookmarkEnd w:id="107"/>
      <w:bookmarkEnd w:id="108"/>
    </w:p>
    <w:p w14:paraId="04858C82">
      <w:pPr>
        <w:pStyle w:val="28"/>
        <w:ind w:firstLine="0" w:firstLineChars="0"/>
        <w:rPr>
          <w:rFonts w:hint="eastAsia" w:hAnsi="黑体" w:cs="黑体"/>
          <w:szCs w:val="21"/>
        </w:rPr>
      </w:pPr>
      <w:r>
        <w:rPr>
          <w:rFonts w:hint="eastAsia" w:ascii="黑体" w:hAnsi="黑体" w:eastAsia="黑体" w:cs="黑体"/>
        </w:rPr>
        <w:t>8.3.2.1</w:t>
      </w:r>
      <w:r>
        <w:rPr>
          <w:rFonts w:hint="eastAsia" w:hAnsi="黑体" w:cs="黑体"/>
          <w:szCs w:val="21"/>
        </w:rPr>
        <w:t xml:space="preserve"> 评价工作组</w:t>
      </w:r>
      <w:r>
        <w:rPr>
          <w:rFonts w:hint="eastAsia" w:hAnsi="黑体" w:cs="黑体"/>
          <w:szCs w:val="21"/>
          <w:lang w:val="en-US" w:eastAsia="zh-CN"/>
        </w:rPr>
        <w:t>应</w:t>
      </w:r>
      <w:r>
        <w:rPr>
          <w:rFonts w:hint="eastAsia" w:hAnsi="黑体" w:cs="黑体"/>
          <w:szCs w:val="21"/>
        </w:rPr>
        <w:t>按照评价实施方案的内容规定，到达评价对象工作地点开展评价。</w:t>
      </w:r>
    </w:p>
    <w:p w14:paraId="126C1AAB">
      <w:pPr>
        <w:pStyle w:val="28"/>
        <w:ind w:firstLine="0" w:firstLineChars="0"/>
        <w:rPr>
          <w:rFonts w:hint="eastAsia" w:hAnsi="黑体" w:cs="黑体"/>
          <w:szCs w:val="21"/>
        </w:rPr>
      </w:pPr>
      <w:r>
        <w:rPr>
          <w:rFonts w:hint="eastAsia" w:ascii="黑体" w:hAnsi="黑体" w:eastAsia="黑体" w:cs="黑体"/>
        </w:rPr>
        <w:t>8.3.2.2</w:t>
      </w:r>
      <w:r>
        <w:rPr>
          <w:rFonts w:hint="eastAsia" w:hAnsi="黑体" w:cs="黑体"/>
          <w:szCs w:val="21"/>
        </w:rPr>
        <w:t xml:space="preserve"> </w:t>
      </w:r>
      <w:r>
        <w:rPr>
          <w:rFonts w:hint="eastAsia" w:hAnsi="黑体" w:cs="黑体"/>
          <w:szCs w:val="21"/>
          <w:lang w:val="en-US" w:eastAsia="zh-CN"/>
        </w:rPr>
        <w:t>应</w:t>
      </w:r>
      <w:r>
        <w:rPr>
          <w:rFonts w:hint="eastAsia" w:hAnsi="黑体" w:cs="黑体"/>
          <w:szCs w:val="21"/>
        </w:rPr>
        <w:t>对服务提供人员或相关负责人进行问询，查看现场服务情况、工作记录或相关资料文件，确认与评价要求的符合性。</w:t>
      </w:r>
    </w:p>
    <w:p w14:paraId="5847C882">
      <w:pPr>
        <w:pStyle w:val="28"/>
        <w:ind w:firstLine="0" w:firstLineChars="0"/>
        <w:rPr>
          <w:rFonts w:hint="eastAsia" w:hAnsi="黑体" w:cs="黑体"/>
          <w:szCs w:val="21"/>
        </w:rPr>
      </w:pPr>
      <w:r>
        <w:rPr>
          <w:rFonts w:hint="eastAsia" w:ascii="黑体" w:hAnsi="黑体" w:eastAsia="黑体" w:cs="黑体"/>
        </w:rPr>
        <w:t>8.3.2.3</w:t>
      </w:r>
      <w:r>
        <w:rPr>
          <w:rFonts w:hint="eastAsia" w:hAnsi="黑体" w:cs="黑体"/>
          <w:szCs w:val="21"/>
        </w:rPr>
        <w:t xml:space="preserve"> </w:t>
      </w:r>
      <w:r>
        <w:rPr>
          <w:rFonts w:hint="eastAsia" w:hAnsi="黑体" w:cs="黑体"/>
          <w:szCs w:val="21"/>
          <w:lang w:val="en-US" w:eastAsia="zh-CN"/>
        </w:rPr>
        <w:t>应</w:t>
      </w:r>
      <w:r>
        <w:rPr>
          <w:rFonts w:hint="eastAsia" w:hAnsi="黑体" w:cs="黑体"/>
          <w:szCs w:val="21"/>
        </w:rPr>
        <w:t>对所提供的文件记录的真实性和有效性进行审查，包括被评价的对象根据评价要求提供的方案、标准、工作记录、证件等材料。</w:t>
      </w:r>
    </w:p>
    <w:p w14:paraId="54E40F3C">
      <w:pPr>
        <w:pStyle w:val="28"/>
        <w:ind w:firstLine="0" w:firstLineChars="0"/>
        <w:rPr>
          <w:rFonts w:hint="eastAsia" w:hAnsi="黑体" w:cs="黑体"/>
          <w:szCs w:val="21"/>
        </w:rPr>
      </w:pPr>
      <w:r>
        <w:rPr>
          <w:rFonts w:hint="eastAsia" w:ascii="黑体" w:hAnsi="黑体" w:eastAsia="黑体" w:cs="黑体"/>
        </w:rPr>
        <w:t>8.3.2.4</w:t>
      </w:r>
      <w:r>
        <w:rPr>
          <w:rFonts w:hint="eastAsia" w:hAnsi="黑体" w:cs="黑体"/>
          <w:szCs w:val="21"/>
        </w:rPr>
        <w:t xml:space="preserve"> 对不能直接通过问询、查看现场等进行评价的情况，</w:t>
      </w:r>
      <w:r>
        <w:rPr>
          <w:rFonts w:hint="eastAsia" w:hAnsi="黑体" w:cs="黑体"/>
          <w:szCs w:val="21"/>
          <w:lang w:val="en-US" w:eastAsia="zh-CN"/>
        </w:rPr>
        <w:t>应</w:t>
      </w:r>
      <w:r>
        <w:rPr>
          <w:rFonts w:hint="eastAsia" w:hAnsi="黑体" w:cs="黑体"/>
          <w:szCs w:val="21"/>
        </w:rPr>
        <w:t>采取现场体验的方式进行评价。</w:t>
      </w:r>
    </w:p>
    <w:p w14:paraId="4C295773">
      <w:pPr>
        <w:pStyle w:val="28"/>
        <w:ind w:firstLine="0" w:firstLineChars="0"/>
        <w:rPr>
          <w:rFonts w:hint="eastAsia" w:hAnsi="黑体" w:cs="黑体"/>
          <w:szCs w:val="21"/>
        </w:rPr>
      </w:pPr>
      <w:r>
        <w:rPr>
          <w:rFonts w:hint="eastAsia" w:ascii="黑体" w:hAnsi="黑体" w:eastAsia="黑体" w:cs="黑体"/>
        </w:rPr>
        <w:t xml:space="preserve">8.3.2.5 </w:t>
      </w:r>
      <w:r>
        <w:rPr>
          <w:rFonts w:hint="eastAsia" w:hAnsi="黑体" w:cs="黑体"/>
          <w:szCs w:val="21"/>
          <w:lang w:val="en-US" w:eastAsia="zh-CN"/>
        </w:rPr>
        <w:t>应</w:t>
      </w:r>
      <w:r>
        <w:rPr>
          <w:rFonts w:hint="eastAsia" w:hAnsi="黑体" w:cs="黑体"/>
          <w:szCs w:val="21"/>
        </w:rPr>
        <w:t>根据评价实施方案规定的取样比例发放调查问卷，在规定的时限内回收调查问卷。</w:t>
      </w:r>
    </w:p>
    <w:p w14:paraId="690CAAC5">
      <w:pPr>
        <w:pStyle w:val="28"/>
        <w:ind w:firstLine="0" w:firstLineChars="0"/>
        <w:rPr>
          <w:rFonts w:hint="eastAsia" w:hAnsi="黑体" w:cs="黑体"/>
          <w:szCs w:val="21"/>
        </w:rPr>
      </w:pPr>
      <w:r>
        <w:rPr>
          <w:rFonts w:hint="eastAsia" w:ascii="黑体" w:hAnsi="黑体" w:eastAsia="黑体" w:cs="黑体"/>
        </w:rPr>
        <w:t>8.3.2.6</w:t>
      </w:r>
      <w:r>
        <w:rPr>
          <w:rFonts w:hint="eastAsia" w:hAnsi="黑体" w:cs="黑体"/>
          <w:szCs w:val="21"/>
        </w:rPr>
        <w:t xml:space="preserve"> </w:t>
      </w:r>
      <w:r>
        <w:rPr>
          <w:rFonts w:hint="eastAsia" w:hAnsi="黑体" w:cs="黑体"/>
          <w:szCs w:val="21"/>
          <w:lang w:val="en-US" w:eastAsia="zh-CN"/>
        </w:rPr>
        <w:t>应</w:t>
      </w:r>
      <w:r>
        <w:rPr>
          <w:rFonts w:hint="eastAsia" w:hAnsi="黑体" w:cs="黑体"/>
          <w:szCs w:val="21"/>
        </w:rPr>
        <w:t>根据评价实施方案规定的取样比例与评价对象开展访谈沟通并做好访谈记录评价。</w:t>
      </w:r>
    </w:p>
    <w:p w14:paraId="26003929">
      <w:pPr>
        <w:spacing w:before="120" w:beforeLines="50" w:after="120" w:afterLines="50" w:line="360" w:lineRule="auto"/>
        <w:outlineLvl w:val="2"/>
        <w:rPr>
          <w:rFonts w:hint="eastAsia" w:ascii="宋体" w:hAnsi="黑体" w:cs="黑体"/>
          <w:kern w:val="0"/>
          <w:szCs w:val="21"/>
        </w:rPr>
      </w:pPr>
      <w:bookmarkStart w:id="109" w:name="_Toc1198260757"/>
      <w:bookmarkStart w:id="110" w:name="_Toc18735"/>
      <w:bookmarkStart w:id="111" w:name="_Toc943232272"/>
      <w:bookmarkStart w:id="112" w:name="_Toc819643291"/>
      <w:r>
        <w:rPr>
          <w:rFonts w:hint="eastAsia" w:ascii="黑体" w:hAnsi="黑体" w:eastAsia="黑体" w:cs="黑体"/>
          <w:color w:val="000000"/>
          <w:szCs w:val="21"/>
        </w:rPr>
        <w:t>8.3.3</w:t>
      </w:r>
      <w:r>
        <w:rPr>
          <w:rFonts w:hint="eastAsia" w:hAnsi="黑体" w:cs="黑体"/>
          <w:color w:val="000000"/>
          <w:szCs w:val="21"/>
        </w:rPr>
        <w:t xml:space="preserve">  </w:t>
      </w:r>
      <w:r>
        <w:rPr>
          <w:rFonts w:hint="eastAsia" w:ascii="黑体" w:hAnsi="黑体" w:eastAsia="黑体" w:cs="黑体"/>
          <w:szCs w:val="21"/>
        </w:rPr>
        <w:t>评价记录</w:t>
      </w:r>
      <w:bookmarkEnd w:id="109"/>
      <w:bookmarkEnd w:id="110"/>
      <w:bookmarkEnd w:id="111"/>
      <w:bookmarkEnd w:id="112"/>
    </w:p>
    <w:p w14:paraId="719D9B74">
      <w:pPr>
        <w:pStyle w:val="28"/>
        <w:ind w:firstLine="0" w:firstLineChars="0"/>
        <w:rPr>
          <w:rFonts w:hint="eastAsia" w:hAnsi="黑体" w:cs="黑体"/>
          <w:color w:val="000000"/>
          <w:szCs w:val="21"/>
        </w:rPr>
      </w:pPr>
      <w:r>
        <w:rPr>
          <w:rFonts w:hint="eastAsia" w:ascii="黑体" w:hAnsi="黑体" w:eastAsia="黑体" w:cs="黑体"/>
        </w:rPr>
        <w:t>8.3.3.1</w:t>
      </w:r>
      <w:r>
        <w:rPr>
          <w:rFonts w:hint="eastAsia" w:hAnsi="黑体" w:cs="黑体"/>
          <w:szCs w:val="21"/>
        </w:rPr>
        <w:t xml:space="preserve"> 整理评价获取的数据信息，</w:t>
      </w:r>
      <w:r>
        <w:rPr>
          <w:rFonts w:hint="eastAsia" w:hAnsi="黑体" w:cs="黑体"/>
          <w:szCs w:val="21"/>
          <w:lang w:val="en-US" w:eastAsia="zh-CN"/>
        </w:rPr>
        <w:t>应</w:t>
      </w:r>
      <w:r>
        <w:rPr>
          <w:rFonts w:hint="eastAsia" w:hAnsi="黑体" w:cs="黑体"/>
          <w:szCs w:val="21"/>
        </w:rPr>
        <w:t>在评价记录表进行客观、真实地记录，并逐项进行打分，计算出最终分</w:t>
      </w:r>
      <w:r>
        <w:rPr>
          <w:rFonts w:hint="eastAsia" w:hAnsi="宋体"/>
          <w:color w:val="000000"/>
          <w:szCs w:val="21"/>
        </w:rPr>
        <w:t>值。</w:t>
      </w:r>
    </w:p>
    <w:p w14:paraId="4661AEDF">
      <w:pPr>
        <w:pStyle w:val="28"/>
        <w:ind w:firstLine="0" w:firstLineChars="0"/>
        <w:rPr>
          <w:rFonts w:hint="eastAsia" w:hAnsi="黑体" w:cs="黑体"/>
          <w:color w:val="000000"/>
          <w:szCs w:val="21"/>
        </w:rPr>
      </w:pPr>
      <w:r>
        <w:rPr>
          <w:rFonts w:hint="eastAsia" w:ascii="黑体" w:hAnsi="黑体" w:eastAsia="黑体" w:cs="黑体"/>
        </w:rPr>
        <w:t>8.3.3.2</w:t>
      </w:r>
      <w:r>
        <w:rPr>
          <w:rFonts w:hint="eastAsia" w:hAnsi="宋体"/>
          <w:color w:val="000000"/>
          <w:szCs w:val="21"/>
        </w:rPr>
        <w:t xml:space="preserve"> 同一评价内容抽样多个样本时，</w:t>
      </w:r>
      <w:r>
        <w:rPr>
          <w:rFonts w:hint="eastAsia" w:hAnsi="宋体"/>
          <w:color w:val="000000"/>
          <w:szCs w:val="21"/>
          <w:lang w:val="en-US" w:eastAsia="zh-CN"/>
        </w:rPr>
        <w:t>应</w:t>
      </w:r>
      <w:r>
        <w:rPr>
          <w:rFonts w:hint="eastAsia" w:hAnsi="宋体"/>
          <w:color w:val="000000"/>
          <w:szCs w:val="21"/>
        </w:rPr>
        <w:t>取其平均值作为该项最终得分。</w:t>
      </w:r>
    </w:p>
    <w:p w14:paraId="2C7E730F">
      <w:pPr>
        <w:pStyle w:val="28"/>
        <w:ind w:firstLine="0" w:firstLineChars="0"/>
        <w:rPr>
          <w:rFonts w:hint="eastAsia" w:hAnsi="黑体" w:cs="黑体"/>
          <w:color w:val="auto"/>
          <w:szCs w:val="21"/>
        </w:rPr>
      </w:pPr>
      <w:r>
        <w:rPr>
          <w:rFonts w:hint="eastAsia" w:ascii="黑体" w:hAnsi="黑体" w:eastAsia="黑体" w:cs="黑体"/>
        </w:rPr>
        <w:t>8.3.3.3</w:t>
      </w:r>
      <w:r>
        <w:rPr>
          <w:rFonts w:hint="eastAsia" w:hAnsi="宋体"/>
          <w:color w:val="000000"/>
          <w:szCs w:val="21"/>
        </w:rPr>
        <w:t xml:space="preserve"> 评价记录</w:t>
      </w:r>
      <w:r>
        <w:rPr>
          <w:rFonts w:hint="eastAsia" w:hAnsi="宋体"/>
          <w:color w:val="auto"/>
          <w:szCs w:val="21"/>
        </w:rPr>
        <w:t>应由评价人员、被评价对象确认签字。</w:t>
      </w:r>
    </w:p>
    <w:p w14:paraId="0A10DC52">
      <w:pPr>
        <w:numPr>
          <w:ilvl w:val="1"/>
          <w:numId w:val="5"/>
        </w:numPr>
        <w:spacing w:before="120" w:beforeLines="50" w:after="120" w:afterLines="50"/>
        <w:outlineLvl w:val="1"/>
        <w:rPr>
          <w:rFonts w:hint="eastAsia" w:ascii="黑体" w:hAnsi="黑体" w:eastAsia="黑体" w:cs="黑体"/>
          <w:color w:val="auto"/>
          <w:szCs w:val="21"/>
        </w:rPr>
      </w:pPr>
      <w:r>
        <w:rPr>
          <w:rFonts w:hint="eastAsia" w:ascii="黑体" w:hAnsi="黑体" w:eastAsia="黑体" w:cs="黑体"/>
          <w:color w:val="auto"/>
          <w:szCs w:val="21"/>
        </w:rPr>
        <w:t xml:space="preserve">  </w:t>
      </w:r>
      <w:bookmarkStart w:id="113" w:name="_Toc29801"/>
      <w:bookmarkStart w:id="114" w:name="_Toc66901333"/>
      <w:bookmarkStart w:id="115" w:name="_Toc1784679979"/>
      <w:bookmarkStart w:id="116" w:name="_Toc15538"/>
      <w:r>
        <w:rPr>
          <w:rFonts w:hint="eastAsia" w:ascii="黑体" w:hAnsi="黑体" w:eastAsia="黑体" w:cs="黑体"/>
          <w:color w:val="auto"/>
          <w:szCs w:val="21"/>
        </w:rPr>
        <w:t>评价结论</w:t>
      </w:r>
      <w:bookmarkEnd w:id="113"/>
      <w:bookmarkEnd w:id="114"/>
      <w:bookmarkEnd w:id="115"/>
      <w:bookmarkEnd w:id="116"/>
    </w:p>
    <w:p w14:paraId="43E0EF69">
      <w:pPr>
        <w:spacing w:before="120" w:beforeLines="50" w:after="120" w:afterLines="50" w:line="360" w:lineRule="auto"/>
        <w:outlineLvl w:val="2"/>
        <w:rPr>
          <w:rFonts w:hint="eastAsia" w:ascii="黑体" w:hAnsi="黑体" w:eastAsia="黑体" w:cs="黑体"/>
          <w:color w:val="auto"/>
          <w:szCs w:val="21"/>
          <w:lang w:eastAsia="zh-CN"/>
        </w:rPr>
      </w:pPr>
      <w:bookmarkStart w:id="117" w:name="_Toc1212309404"/>
      <w:bookmarkStart w:id="118" w:name="_Toc1276756350"/>
      <w:bookmarkStart w:id="119" w:name="_Toc1640963886"/>
      <w:bookmarkStart w:id="120" w:name="_Toc4717"/>
      <w:r>
        <w:rPr>
          <w:rFonts w:hint="eastAsia" w:ascii="黑体" w:hAnsi="黑体" w:eastAsia="黑体" w:cs="黑体"/>
          <w:color w:val="auto"/>
          <w:szCs w:val="21"/>
        </w:rPr>
        <w:t>8.4.1  评价结果</w:t>
      </w:r>
      <w:bookmarkEnd w:id="117"/>
      <w:bookmarkEnd w:id="118"/>
      <w:bookmarkEnd w:id="119"/>
      <w:bookmarkEnd w:id="120"/>
      <w:r>
        <w:rPr>
          <w:rFonts w:hint="eastAsia" w:ascii="黑体" w:hAnsi="黑体" w:eastAsia="黑体" w:cs="黑体"/>
          <w:color w:val="auto"/>
          <w:szCs w:val="21"/>
          <w:lang w:val="en-US" w:eastAsia="zh-CN"/>
        </w:rPr>
        <w:t>计算</w:t>
      </w:r>
    </w:p>
    <w:p w14:paraId="274D5CC6">
      <w:pPr>
        <w:pStyle w:val="230"/>
        <w:numPr>
          <w:ilvl w:val="3"/>
          <w:numId w:val="0"/>
        </w:numPr>
      </w:pPr>
      <w:r>
        <w:rPr>
          <w:rFonts w:hint="eastAsia" w:ascii="黑体" w:hAnsi="黑体" w:eastAsia="黑体" w:cs="黑体"/>
        </w:rPr>
        <w:t>8.4.1.1</w:t>
      </w:r>
      <w:r>
        <w:rPr>
          <w:rFonts w:hint="eastAsia"/>
        </w:rPr>
        <w:t>产业园区物业服务质量评价按照分项逐一进行评价。各分项下设评分项，评价时对各条逐一评分，各项累加计算得出分项得分。</w:t>
      </w:r>
    </w:p>
    <w:p w14:paraId="5DECD24C">
      <w:pPr>
        <w:pStyle w:val="230"/>
        <w:numPr>
          <w:ilvl w:val="3"/>
          <w:numId w:val="0"/>
        </w:numPr>
      </w:pPr>
      <w:r>
        <w:rPr>
          <w:rFonts w:hint="eastAsia" w:ascii="黑体" w:hAnsi="黑体" w:eastAsia="黑体" w:cs="黑体"/>
        </w:rPr>
        <w:t>8.4.1.2</w:t>
      </w:r>
      <w:r>
        <w:rPr>
          <w:rFonts w:hint="eastAsia"/>
        </w:rPr>
        <w:t>将评价中涉及的分项得分累加，得到评价总得分：</w:t>
      </w:r>
    </w:p>
    <w:p w14:paraId="614C9A8E">
      <w:pPr>
        <w:pStyle w:val="231"/>
        <w:jc w:val="center"/>
        <w:rPr>
          <w:rFonts w:ascii="Cambria Math" w:hAnsi="Cambria Math"/>
          <w:vertAlign w:val="subscript"/>
        </w:rPr>
      </w:pPr>
      <w:r>
        <w:rPr>
          <w:rFonts w:hint="eastAsia" w:hAnsi="Cambria Math"/>
          <w:b w:val="0"/>
          <w:i w:val="0"/>
          <w:lang w:val="en-US" w:eastAsia="zh-CN"/>
        </w:rPr>
        <w:t>E</w:t>
      </w:r>
      <m:oMath>
        <m:r>
          <m:rPr>
            <m:sty m:val="p"/>
          </m:rPr>
          <w:rPr>
            <w:rFonts w:ascii="Cambria Math" w:hAnsi="Cambria Math"/>
          </w:rPr>
          <m:t>S=</m:t>
        </m:r>
        <m:nary>
          <m:naryPr>
            <m:chr m:val="∑"/>
            <m:limLoc m:val="undOvr"/>
            <m:ctrlPr>
              <w:rPr>
                <w:rFonts w:ascii="Cambria Math" w:hAnsi="Cambria Math"/>
                <w:b w:val="0"/>
                <w:i w:val="0"/>
              </w:rPr>
            </m:ctrlPr>
          </m:naryPr>
          <m:sub>
            <m:r>
              <m:rPr>
                <m:sty m:val="p"/>
              </m:rPr>
              <w:rPr>
                <w:rFonts w:hint="default" w:ascii="Cambria Math" w:hAnsi="Cambria Math"/>
                <w:lang w:val="en-US" w:eastAsia="zh-CN"/>
              </w:rPr>
              <m:t>i=1</m:t>
            </m:r>
            <m:ctrlPr>
              <w:rPr>
                <w:rFonts w:ascii="Cambria Math" w:hAnsi="Cambria Math"/>
                <w:b w:val="0"/>
                <w:i w:val="0"/>
              </w:rPr>
            </m:ctrlPr>
          </m:sub>
          <m:sup>
            <m:r>
              <m:rPr>
                <m:sty m:val="p"/>
              </m:rPr>
              <w:rPr>
                <w:rFonts w:hint="default" w:ascii="Cambria Math" w:hAnsi="Cambria Math"/>
                <w:lang w:val="en-US" w:eastAsia="zh-CN"/>
              </w:rPr>
              <m:t>m</m:t>
            </m:r>
            <m:ctrlPr>
              <w:rPr>
                <w:rFonts w:ascii="Cambria Math" w:hAnsi="Cambria Math"/>
                <w:b w:val="0"/>
                <w:i w:val="0"/>
              </w:rPr>
            </m:ctrlPr>
          </m:sup>
          <m:e>
            <m:r>
              <m:rPr>
                <m:sty m:val="p"/>
              </m:rPr>
              <w:rPr>
                <w:rFonts w:hint="eastAsia"/>
              </w:rPr>
              <m:t>Q</m:t>
            </m:r>
            <m:r>
              <m:rPr>
                <m:sty m:val="p"/>
              </m:rPr>
              <w:rPr>
                <w:rFonts w:hint="default" w:ascii="Cambria Math" w:hAnsi="Cambria Math" w:eastAsia="宋体" w:cs="Times New Roman"/>
                <w:sz w:val="21"/>
                <w:vertAlign w:val="subscript"/>
                <w:lang w:val="en-US" w:eastAsia="zh-CN" w:bidi="ar-SA"/>
              </w:rPr>
              <m:t>i</m:t>
            </m:r>
            <m:ctrlPr>
              <w:rPr>
                <w:rFonts w:ascii="Cambria Math" w:hAnsi="Cambria Math"/>
                <w:b w:val="0"/>
                <w:i w:val="0"/>
              </w:rPr>
            </m:ctrlPr>
          </m:e>
        </m:nary>
      </m:oMath>
      <w:r>
        <w:rPr>
          <w:rFonts w:hint="eastAsia" w:hAnsi="Cambria Math"/>
          <w:b w:val="0"/>
          <w:i w:val="0"/>
          <w:lang w:val="en-US" w:eastAsia="zh-CN"/>
        </w:rPr>
        <w:t>+</w:t>
      </w:r>
      <w:r>
        <w:rPr>
          <w:rFonts w:hint="eastAsia"/>
        </w:rPr>
        <w:t>F</w:t>
      </w:r>
      <w:r>
        <w:rPr>
          <w:vertAlign w:val="subscript"/>
        </w:rPr>
        <w:t>0</w:t>
      </w:r>
      <w:r>
        <w:rPr>
          <w:rFonts w:hint="eastAsia"/>
        </w:rPr>
        <w:t>………………………………</w:t>
      </w:r>
      <w:r>
        <w:t>(</w:t>
      </w:r>
      <w:r>
        <w:fldChar w:fldCharType="begin"/>
      </w:r>
      <w:r>
        <w:instrText xml:space="preserve"> AUTONUM </w:instrText>
      </w:r>
      <w:r>
        <w:fldChar w:fldCharType="end"/>
      </w:r>
      <w:r>
        <w:t>)</w:t>
      </w:r>
    </w:p>
    <w:p w14:paraId="52D21778">
      <w:pPr>
        <w:pStyle w:val="232"/>
        <w:ind w:firstLine="420"/>
      </w:pPr>
      <w:r>
        <w:rPr>
          <w:rFonts w:hint="eastAsia"/>
        </w:rPr>
        <w:t>式中：</w:t>
      </w:r>
    </w:p>
    <w:p w14:paraId="60DB4749">
      <w:pPr>
        <w:pStyle w:val="228"/>
        <w:ind w:firstLine="420"/>
      </w:pPr>
      <w:r>
        <w:rPr>
          <w:rFonts w:hint="eastAsia"/>
          <w:lang w:val="en-US" w:eastAsia="zh-CN"/>
        </w:rPr>
        <w:t>E</w:t>
      </w:r>
      <w:r>
        <w:rPr>
          <w:rFonts w:hint="eastAsia"/>
        </w:rPr>
        <w:t>S——评价总得分；</w:t>
      </w:r>
    </w:p>
    <w:p w14:paraId="574A9C8D">
      <w:pPr>
        <w:pStyle w:val="228"/>
        <w:ind w:firstLine="420"/>
        <w:rPr>
          <w:vertAlign w:val="subscript"/>
        </w:rPr>
      </w:pPr>
      <w:r>
        <w:rPr>
          <w:rFonts w:hint="eastAsia"/>
        </w:rPr>
        <w:t>m——涉及项数；</w:t>
      </w:r>
    </w:p>
    <w:p w14:paraId="6464AFAD">
      <w:pPr>
        <w:pStyle w:val="228"/>
        <w:ind w:firstLine="420"/>
      </w:pPr>
      <w:r>
        <w:rPr>
          <w:rFonts w:hint="eastAsia"/>
        </w:rPr>
        <w:t>Q</w:t>
      </w:r>
      <w:r>
        <w:rPr>
          <w:rFonts w:hint="eastAsia"/>
          <w:vertAlign w:val="subscript"/>
        </w:rPr>
        <w:t>i</w:t>
      </w:r>
      <w:r>
        <w:rPr>
          <w:rFonts w:hint="eastAsia"/>
        </w:rPr>
        <w:t>——涉及项实际得分；</w:t>
      </w:r>
    </w:p>
    <w:p w14:paraId="76C419DC">
      <w:pPr>
        <w:ind w:firstLine="420" w:firstLineChars="200"/>
        <w:rPr>
          <w:rFonts w:hint="eastAsia" w:ascii="宋体" w:hAnsi="宋体"/>
          <w:color w:val="000000"/>
          <w:kern w:val="0"/>
          <w:szCs w:val="21"/>
        </w:rPr>
      </w:pPr>
      <w:r>
        <w:rPr>
          <w:rFonts w:hint="eastAsia"/>
        </w:rPr>
        <w:t>F</w:t>
      </w:r>
      <w:r>
        <w:rPr>
          <w:vertAlign w:val="subscript"/>
        </w:rPr>
        <w:t>0</w:t>
      </w:r>
      <w:r>
        <w:rPr>
          <w:rFonts w:hint="eastAsia"/>
        </w:rPr>
        <w:t>——服务过程中“延伸服务”服务指标项得分。</w:t>
      </w:r>
    </w:p>
    <w:p w14:paraId="5C21063B">
      <w:pPr>
        <w:spacing w:before="120" w:beforeLines="50" w:after="120" w:afterLines="50" w:line="360" w:lineRule="auto"/>
        <w:outlineLvl w:val="2"/>
        <w:rPr>
          <w:rFonts w:hint="eastAsia" w:ascii="黑体" w:hAnsi="黑体" w:eastAsia="黑体" w:cs="黑体"/>
          <w:color w:val="auto"/>
          <w:szCs w:val="21"/>
        </w:rPr>
      </w:pPr>
      <w:bookmarkStart w:id="121" w:name="_Toc787373626"/>
      <w:bookmarkStart w:id="122" w:name="_Toc24771"/>
      <w:bookmarkStart w:id="123" w:name="_Toc1695037228"/>
      <w:bookmarkStart w:id="124" w:name="_Toc1175361037"/>
      <w:r>
        <w:rPr>
          <w:rFonts w:hint="eastAsia" w:ascii="黑体" w:hAnsi="黑体" w:eastAsia="黑体" w:cs="黑体"/>
          <w:szCs w:val="21"/>
        </w:rPr>
        <w:t>8.4.2  评价报告撰写</w:t>
      </w:r>
      <w:bookmarkEnd w:id="121"/>
      <w:bookmarkEnd w:id="122"/>
      <w:bookmarkEnd w:id="123"/>
      <w:bookmarkEnd w:id="124"/>
    </w:p>
    <w:p w14:paraId="79F8E244">
      <w:pPr>
        <w:pStyle w:val="28"/>
        <w:ind w:firstLine="0" w:firstLineChars="0"/>
        <w:rPr>
          <w:rFonts w:hint="eastAsia" w:hAnsi="宋体"/>
          <w:color w:val="auto"/>
          <w:szCs w:val="21"/>
        </w:rPr>
      </w:pPr>
      <w:r>
        <w:rPr>
          <w:rFonts w:hint="eastAsia" w:ascii="黑体" w:hAnsi="黑体" w:eastAsia="黑体" w:cs="黑体"/>
          <w:color w:val="auto"/>
          <w:kern w:val="2"/>
          <w:szCs w:val="21"/>
        </w:rPr>
        <w:t>8.4.2.1</w:t>
      </w:r>
      <w:r>
        <w:rPr>
          <w:rFonts w:hint="eastAsia" w:hAnsi="宋体"/>
          <w:color w:val="auto"/>
          <w:szCs w:val="21"/>
        </w:rPr>
        <w:t xml:space="preserve">  评价</w:t>
      </w:r>
      <w:r>
        <w:rPr>
          <w:rFonts w:hint="eastAsia" w:hAnsi="黑体" w:cs="黑体"/>
          <w:color w:val="auto"/>
          <w:szCs w:val="21"/>
        </w:rPr>
        <w:t>实施完成后，</w:t>
      </w:r>
      <w:r>
        <w:rPr>
          <w:rFonts w:hint="eastAsia" w:hAnsi="黑体" w:cs="黑体"/>
          <w:color w:val="auto"/>
          <w:szCs w:val="21"/>
          <w:lang w:val="en-US" w:eastAsia="zh-CN"/>
        </w:rPr>
        <w:t>应</w:t>
      </w:r>
      <w:r>
        <w:rPr>
          <w:rFonts w:hint="eastAsia" w:hAnsi="黑体" w:cs="黑体"/>
          <w:color w:val="auto"/>
          <w:szCs w:val="21"/>
        </w:rPr>
        <w:t>对此次评价的过程、评价的结果以及评价后需要进行改进的事项进行总结概括，</w:t>
      </w:r>
      <w:r>
        <w:rPr>
          <w:rFonts w:hint="eastAsia" w:hAnsi="宋体"/>
          <w:color w:val="auto"/>
          <w:szCs w:val="21"/>
        </w:rPr>
        <w:t>撰写评价报告，内容</w:t>
      </w:r>
      <w:r>
        <w:rPr>
          <w:rFonts w:hint="eastAsia" w:hAnsi="宋体"/>
          <w:color w:val="auto"/>
          <w:szCs w:val="21"/>
          <w:lang w:val="en-US" w:eastAsia="zh-CN"/>
        </w:rPr>
        <w:t>应</w:t>
      </w:r>
      <w:r>
        <w:rPr>
          <w:rFonts w:hint="eastAsia" w:hAnsi="宋体"/>
          <w:color w:val="auto"/>
          <w:szCs w:val="21"/>
        </w:rPr>
        <w:t>包括：</w:t>
      </w:r>
    </w:p>
    <w:p w14:paraId="5C0D4CED">
      <w:pPr>
        <w:numPr>
          <w:ilvl w:val="0"/>
          <w:numId w:val="11"/>
        </w:numPr>
        <w:ind w:firstLine="420" w:firstLineChars="200"/>
        <w:rPr>
          <w:rFonts w:hint="eastAsia" w:ascii="宋体" w:hAnsi="宋体"/>
          <w:color w:val="000000"/>
          <w:szCs w:val="21"/>
        </w:rPr>
      </w:pPr>
      <w:r>
        <w:rPr>
          <w:rFonts w:hint="eastAsia" w:ascii="宋体" w:hAnsi="宋体"/>
          <w:color w:val="000000"/>
          <w:szCs w:val="21"/>
        </w:rPr>
        <w:t>评价的依据；</w:t>
      </w:r>
    </w:p>
    <w:p w14:paraId="054D149D">
      <w:pPr>
        <w:numPr>
          <w:ilvl w:val="0"/>
          <w:numId w:val="11"/>
        </w:numPr>
        <w:ind w:firstLine="420" w:firstLineChars="200"/>
        <w:rPr>
          <w:rFonts w:hint="eastAsia" w:ascii="宋体" w:hAnsi="宋体"/>
          <w:color w:val="000000"/>
          <w:szCs w:val="21"/>
        </w:rPr>
      </w:pPr>
      <w:r>
        <w:rPr>
          <w:rFonts w:hint="eastAsia" w:ascii="宋体" w:hAnsi="宋体"/>
          <w:color w:val="000000"/>
          <w:szCs w:val="21"/>
        </w:rPr>
        <w:t>评价的时间、地点；</w:t>
      </w:r>
    </w:p>
    <w:p w14:paraId="791C8FD1">
      <w:pPr>
        <w:numPr>
          <w:ilvl w:val="0"/>
          <w:numId w:val="11"/>
        </w:numPr>
        <w:ind w:firstLine="420" w:firstLineChars="200"/>
        <w:rPr>
          <w:rFonts w:hint="eastAsia" w:ascii="宋体" w:hAnsi="宋体"/>
          <w:color w:val="000000"/>
          <w:szCs w:val="21"/>
        </w:rPr>
      </w:pPr>
      <w:r>
        <w:rPr>
          <w:rFonts w:hint="eastAsia" w:ascii="宋体" w:hAnsi="宋体"/>
          <w:color w:val="000000"/>
          <w:szCs w:val="21"/>
        </w:rPr>
        <w:t>评价人员；</w:t>
      </w:r>
    </w:p>
    <w:p w14:paraId="57C63B63">
      <w:pPr>
        <w:numPr>
          <w:ilvl w:val="0"/>
          <w:numId w:val="11"/>
        </w:numPr>
        <w:ind w:firstLine="420" w:firstLineChars="200"/>
        <w:rPr>
          <w:rFonts w:hint="eastAsia" w:ascii="宋体" w:hAnsi="宋体"/>
          <w:color w:val="000000"/>
          <w:szCs w:val="21"/>
        </w:rPr>
      </w:pPr>
      <w:r>
        <w:rPr>
          <w:rFonts w:hint="eastAsia" w:ascii="宋体" w:hAnsi="宋体"/>
          <w:color w:val="000000"/>
          <w:szCs w:val="21"/>
        </w:rPr>
        <w:t>评价的范围和取样的比例；</w:t>
      </w:r>
    </w:p>
    <w:p w14:paraId="6AE1258C">
      <w:pPr>
        <w:numPr>
          <w:ilvl w:val="0"/>
          <w:numId w:val="11"/>
        </w:numPr>
        <w:ind w:firstLine="420" w:firstLineChars="200"/>
        <w:rPr>
          <w:rFonts w:hint="eastAsia" w:ascii="宋体" w:hAnsi="宋体"/>
          <w:color w:val="000000"/>
          <w:szCs w:val="21"/>
        </w:rPr>
      </w:pPr>
      <w:r>
        <w:rPr>
          <w:rFonts w:hint="eastAsia" w:ascii="宋体" w:hAnsi="宋体"/>
          <w:color w:val="000000"/>
          <w:szCs w:val="21"/>
        </w:rPr>
        <w:t>各指标评价的分值结果；</w:t>
      </w:r>
    </w:p>
    <w:p w14:paraId="5A6A4ADE">
      <w:pPr>
        <w:numPr>
          <w:ilvl w:val="0"/>
          <w:numId w:val="11"/>
        </w:numPr>
        <w:ind w:firstLine="420" w:firstLineChars="200"/>
        <w:rPr>
          <w:rFonts w:hint="eastAsia" w:ascii="宋体" w:hAnsi="宋体"/>
          <w:color w:val="000000"/>
          <w:szCs w:val="21"/>
        </w:rPr>
      </w:pPr>
      <w:r>
        <w:rPr>
          <w:rFonts w:hint="eastAsia" w:ascii="宋体" w:hAnsi="宋体"/>
          <w:color w:val="000000"/>
          <w:szCs w:val="21"/>
        </w:rPr>
        <w:t>发现的相关问题；</w:t>
      </w:r>
    </w:p>
    <w:p w14:paraId="3AC70CC7">
      <w:pPr>
        <w:numPr>
          <w:ilvl w:val="0"/>
          <w:numId w:val="11"/>
        </w:numPr>
        <w:ind w:firstLine="420" w:firstLineChars="200"/>
      </w:pPr>
      <w:r>
        <w:rPr>
          <w:rFonts w:hint="eastAsia" w:ascii="宋体" w:hAnsi="宋体"/>
          <w:color w:val="000000"/>
          <w:szCs w:val="21"/>
        </w:rPr>
        <w:t>改进的相关指导意见。</w:t>
      </w:r>
    </w:p>
    <w:p w14:paraId="0141F7E0">
      <w:pPr>
        <w:pStyle w:val="28"/>
        <w:ind w:firstLine="0" w:firstLineChars="0"/>
      </w:pPr>
      <w:r>
        <w:rPr>
          <w:rFonts w:hint="eastAsia" w:ascii="黑体" w:hAnsi="黑体" w:eastAsia="黑体" w:cs="黑体"/>
          <w:kern w:val="2"/>
          <w:szCs w:val="21"/>
        </w:rPr>
        <w:t>8.4.2.2</w:t>
      </w:r>
      <w:r>
        <w:rPr>
          <w:rFonts w:hint="eastAsia" w:hAnsi="宋体"/>
          <w:color w:val="000000"/>
          <w:szCs w:val="21"/>
        </w:rPr>
        <w:t xml:space="preserve">  评价</w:t>
      </w:r>
      <w:r>
        <w:rPr>
          <w:rFonts w:hint="eastAsia"/>
        </w:rPr>
        <w:t>报告应有评价工作组签字。</w:t>
      </w:r>
    </w:p>
    <w:p w14:paraId="5ACF0E16">
      <w:pPr>
        <w:spacing w:before="120" w:beforeLines="50" w:after="120" w:afterLines="50" w:line="360" w:lineRule="auto"/>
        <w:outlineLvl w:val="2"/>
        <w:rPr>
          <w:rFonts w:hint="eastAsia" w:ascii="黑体" w:hAnsi="黑体" w:eastAsia="黑体" w:cs="黑体"/>
          <w:szCs w:val="21"/>
        </w:rPr>
      </w:pPr>
      <w:bookmarkStart w:id="125" w:name="_Toc32551"/>
      <w:bookmarkStart w:id="126" w:name="_Toc1738363753"/>
      <w:bookmarkStart w:id="127" w:name="_Toc2120113541"/>
      <w:bookmarkStart w:id="128" w:name="_Toc594299368"/>
      <w:r>
        <w:rPr>
          <w:rFonts w:hint="eastAsia" w:ascii="黑体" w:hAnsi="黑体" w:eastAsia="黑体" w:cs="黑体"/>
          <w:szCs w:val="21"/>
        </w:rPr>
        <w:t>8.4.3  评价结果反馈</w:t>
      </w:r>
      <w:bookmarkEnd w:id="125"/>
      <w:bookmarkEnd w:id="126"/>
      <w:bookmarkEnd w:id="127"/>
      <w:bookmarkEnd w:id="128"/>
    </w:p>
    <w:p w14:paraId="545C474C">
      <w:pPr>
        <w:ind w:firstLine="420" w:firstLineChars="200"/>
        <w:rPr>
          <w:rFonts w:hint="eastAsia" w:ascii="宋体" w:hAnsi="宋体"/>
          <w:color w:val="auto"/>
          <w:szCs w:val="21"/>
        </w:rPr>
      </w:pPr>
      <w:r>
        <w:rPr>
          <w:rFonts w:hint="eastAsia" w:ascii="宋体" w:hAnsi="宋体"/>
          <w:color w:val="auto"/>
          <w:szCs w:val="21"/>
          <w:lang w:val="en-US" w:eastAsia="zh-CN"/>
        </w:rPr>
        <w:t>应</w:t>
      </w:r>
      <w:r>
        <w:rPr>
          <w:rFonts w:hint="eastAsia" w:ascii="宋体" w:hAnsi="宋体"/>
          <w:color w:val="auto"/>
          <w:szCs w:val="21"/>
        </w:rPr>
        <w:t>召开末次会议，末次会议内容</w:t>
      </w:r>
      <w:r>
        <w:rPr>
          <w:rFonts w:hint="eastAsia" w:ascii="宋体" w:hAnsi="宋体"/>
          <w:color w:val="auto"/>
          <w:szCs w:val="21"/>
          <w:lang w:val="en-US" w:eastAsia="zh-CN"/>
        </w:rPr>
        <w:t>应</w:t>
      </w:r>
      <w:r>
        <w:rPr>
          <w:rFonts w:hint="eastAsia" w:ascii="宋体" w:hAnsi="宋体"/>
          <w:color w:val="auto"/>
          <w:szCs w:val="21"/>
        </w:rPr>
        <w:t>包括</w:t>
      </w:r>
      <w:r>
        <w:rPr>
          <w:rFonts w:hint="eastAsia" w:ascii="宋体" w:hAnsi="宋体"/>
          <w:color w:val="auto"/>
          <w:szCs w:val="21"/>
          <w:lang w:val="en-US" w:eastAsia="zh-CN"/>
        </w:rPr>
        <w:t>下列内容</w:t>
      </w:r>
      <w:r>
        <w:rPr>
          <w:rFonts w:hint="eastAsia" w:ascii="宋体" w:hAnsi="宋体"/>
          <w:color w:val="auto"/>
          <w:szCs w:val="21"/>
        </w:rPr>
        <w:t>：</w:t>
      </w:r>
    </w:p>
    <w:p w14:paraId="732803BA">
      <w:pPr>
        <w:numPr>
          <w:ilvl w:val="0"/>
          <w:numId w:val="12"/>
        </w:numPr>
        <w:ind w:firstLine="420" w:firstLineChars="200"/>
        <w:rPr>
          <w:rFonts w:hint="eastAsia" w:ascii="宋体" w:hAnsi="宋体"/>
          <w:color w:val="auto"/>
          <w:szCs w:val="21"/>
        </w:rPr>
      </w:pPr>
      <w:r>
        <w:rPr>
          <w:rFonts w:hint="eastAsia" w:ascii="宋体" w:hAnsi="宋体"/>
          <w:color w:val="auto"/>
          <w:szCs w:val="21"/>
        </w:rPr>
        <w:t>宣布评价结论；</w:t>
      </w:r>
    </w:p>
    <w:p w14:paraId="6123DD98">
      <w:pPr>
        <w:numPr>
          <w:ilvl w:val="0"/>
          <w:numId w:val="12"/>
        </w:numPr>
        <w:ind w:firstLine="420" w:firstLineChars="200"/>
        <w:rPr>
          <w:rFonts w:hint="eastAsia" w:ascii="宋体" w:hAnsi="宋体"/>
          <w:color w:val="000000"/>
          <w:szCs w:val="21"/>
        </w:rPr>
      </w:pPr>
      <w:r>
        <w:rPr>
          <w:rFonts w:hint="eastAsia" w:ascii="宋体" w:hAnsi="宋体"/>
          <w:color w:val="auto"/>
          <w:szCs w:val="21"/>
          <w:lang w:val="en-US" w:eastAsia="zh-CN"/>
        </w:rPr>
        <w:t>阐述</w:t>
      </w:r>
      <w:r>
        <w:rPr>
          <w:rFonts w:hint="eastAsia" w:ascii="宋体" w:hAnsi="宋体"/>
          <w:color w:val="auto"/>
          <w:szCs w:val="21"/>
        </w:rPr>
        <w:t>发现的相关</w:t>
      </w:r>
      <w:r>
        <w:rPr>
          <w:rFonts w:hint="eastAsia" w:ascii="宋体" w:hAnsi="宋体"/>
          <w:color w:val="000000"/>
          <w:szCs w:val="21"/>
        </w:rPr>
        <w:t>问题及改进建议；</w:t>
      </w:r>
    </w:p>
    <w:p w14:paraId="37F90721">
      <w:pPr>
        <w:numPr>
          <w:ilvl w:val="0"/>
          <w:numId w:val="12"/>
        </w:numPr>
        <w:ind w:firstLine="420" w:firstLineChars="200"/>
        <w:rPr>
          <w:rFonts w:hint="eastAsia" w:ascii="宋体" w:hAnsi="宋体" w:cs="宋体"/>
          <w:szCs w:val="21"/>
          <w:u w:val="single"/>
        </w:rPr>
      </w:pPr>
      <w:r>
        <w:rPr>
          <w:rFonts w:hint="eastAsia" w:ascii="宋体" w:hAnsi="宋体"/>
          <w:color w:val="000000"/>
          <w:szCs w:val="21"/>
        </w:rPr>
        <w:t>对评价结果的相关异议进行沟通、复核</w:t>
      </w:r>
      <w:bookmarkEnd w:id="52"/>
      <w:r>
        <w:rPr>
          <w:rFonts w:hint="eastAsia" w:ascii="宋体" w:hAnsi="宋体"/>
          <w:color w:val="000000"/>
          <w:szCs w:val="21"/>
        </w:rPr>
        <w:t>。</w:t>
      </w:r>
    </w:p>
    <w:p w14:paraId="679360F1">
      <w:pPr>
        <w:pStyle w:val="72"/>
        <w:numPr>
          <w:ilvl w:val="0"/>
          <w:numId w:val="5"/>
        </w:numPr>
        <w:spacing w:before="240" w:after="240"/>
        <w:outlineLvl w:val="0"/>
        <w:rPr>
          <w:rFonts w:hint="eastAsia" w:hAnsi="黑体" w:cs="黑体"/>
          <w:szCs w:val="21"/>
        </w:rPr>
      </w:pPr>
      <w:bookmarkStart w:id="129" w:name="_Toc443035779"/>
      <w:bookmarkStart w:id="130" w:name="_Toc2106793939"/>
      <w:bookmarkStart w:id="131" w:name="_Toc31088"/>
      <w:r>
        <w:rPr>
          <w:rFonts w:hint="eastAsia" w:hAnsi="黑体" w:cs="黑体"/>
          <w:szCs w:val="21"/>
        </w:rPr>
        <w:t xml:space="preserve">  </w:t>
      </w:r>
      <w:bookmarkStart w:id="132" w:name="_Toc31541"/>
      <w:bookmarkStart w:id="133" w:name="_Toc13984"/>
      <w:bookmarkStart w:id="134" w:name="_Toc13319"/>
      <w:r>
        <w:rPr>
          <w:rFonts w:hint="eastAsia" w:hAnsi="黑体" w:cs="黑体"/>
          <w:szCs w:val="21"/>
        </w:rPr>
        <w:t>评价结果应用</w:t>
      </w:r>
      <w:bookmarkEnd w:id="129"/>
      <w:bookmarkEnd w:id="130"/>
      <w:bookmarkEnd w:id="131"/>
      <w:bookmarkEnd w:id="132"/>
      <w:bookmarkEnd w:id="133"/>
      <w:bookmarkEnd w:id="134"/>
    </w:p>
    <w:p w14:paraId="1BFAE33B">
      <w:pPr>
        <w:ind w:firstLine="420" w:firstLineChars="200"/>
        <w:rPr>
          <w:rFonts w:hint="eastAsia" w:ascii="宋体" w:hAnsi="宋体"/>
          <w:color w:val="auto"/>
          <w:kern w:val="0"/>
          <w:szCs w:val="21"/>
        </w:rPr>
      </w:pPr>
      <w:r>
        <w:rPr>
          <w:rFonts w:hint="eastAsia" w:ascii="宋体" w:hAnsi="宋体"/>
          <w:color w:val="000000"/>
          <w:kern w:val="0"/>
          <w:szCs w:val="21"/>
          <w:lang w:val="en-US" w:eastAsia="zh-CN"/>
        </w:rPr>
        <w:t>评价结果应用于对产业园区的物业服务质量进行等级评定。</w:t>
      </w:r>
      <w:r>
        <w:rPr>
          <w:rFonts w:hint="eastAsia" w:ascii="宋体" w:hAnsi="宋体"/>
          <w:color w:val="000000"/>
          <w:kern w:val="0"/>
          <w:szCs w:val="21"/>
        </w:rPr>
        <w:t>根据产业园区物业服务质量评价</w:t>
      </w:r>
      <w:r>
        <w:rPr>
          <w:rFonts w:hint="eastAsia" w:ascii="宋体" w:hAnsi="宋体"/>
          <w:color w:val="000000"/>
          <w:kern w:val="0"/>
          <w:szCs w:val="21"/>
          <w:lang w:val="en-US" w:eastAsia="zh-CN"/>
        </w:rPr>
        <w:t>所</w:t>
      </w:r>
      <w:r>
        <w:rPr>
          <w:rFonts w:hint="eastAsia" w:ascii="宋体" w:hAnsi="宋体"/>
          <w:color w:val="000000"/>
          <w:kern w:val="0"/>
          <w:szCs w:val="21"/>
        </w:rPr>
        <w:t>得</w:t>
      </w:r>
      <w:r>
        <w:rPr>
          <w:rFonts w:hint="eastAsia" w:ascii="宋体" w:hAnsi="宋体"/>
          <w:color w:val="000000"/>
          <w:kern w:val="0"/>
          <w:szCs w:val="21"/>
          <w:lang w:val="en-US" w:eastAsia="zh-CN"/>
        </w:rPr>
        <w:t>总</w:t>
      </w:r>
      <w:r>
        <w:rPr>
          <w:rFonts w:hint="eastAsia" w:ascii="宋体" w:hAnsi="宋体"/>
          <w:color w:val="000000"/>
          <w:kern w:val="0"/>
          <w:szCs w:val="21"/>
        </w:rPr>
        <w:t>分，将产业园区物业服务质量划分</w:t>
      </w:r>
      <w:r>
        <w:rPr>
          <w:rFonts w:hint="eastAsia" w:ascii="宋体" w:hAnsi="宋体"/>
          <w:color w:val="auto"/>
          <w:kern w:val="0"/>
          <w:szCs w:val="21"/>
        </w:rPr>
        <w:t>为</w:t>
      </w:r>
      <w:r>
        <w:rPr>
          <w:rFonts w:hint="eastAsia"/>
          <w:color w:val="auto"/>
          <w:lang w:val="en-US" w:eastAsia="zh-CN"/>
        </w:rPr>
        <w:t>五个</w:t>
      </w:r>
      <w:r>
        <w:rPr>
          <w:rFonts w:hint="eastAsia" w:ascii="宋体" w:hAnsi="宋体"/>
          <w:color w:val="auto"/>
          <w:kern w:val="0"/>
          <w:szCs w:val="21"/>
        </w:rPr>
        <w:t>等级，等级划分如表2。</w:t>
      </w:r>
    </w:p>
    <w:p w14:paraId="02EC1492">
      <w:pPr>
        <w:spacing w:line="240" w:lineRule="auto"/>
        <w:jc w:val="center"/>
        <w:rPr>
          <w:rFonts w:hint="eastAsia" w:ascii="黑体" w:hAnsi="黑体" w:eastAsia="黑体" w:cs="黑体"/>
          <w:color w:val="auto"/>
          <w:kern w:val="0"/>
          <w:szCs w:val="21"/>
        </w:rPr>
      </w:pPr>
      <w:r>
        <w:rPr>
          <w:rFonts w:hint="eastAsia" w:ascii="黑体" w:hAnsi="黑体" w:eastAsia="黑体" w:cs="黑体"/>
          <w:color w:val="auto"/>
          <w:kern w:val="0"/>
          <w:szCs w:val="21"/>
        </w:rPr>
        <w:t>表2 产业园区物业服务质量等级划分表</w:t>
      </w:r>
    </w:p>
    <w:tbl>
      <w:tblPr>
        <w:tblStyle w:val="39"/>
        <w:tblW w:w="0" w:type="auto"/>
        <w:tblInd w:w="11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60"/>
        <w:gridCol w:w="3920"/>
      </w:tblGrid>
      <w:tr w14:paraId="7A8C6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160" w:type="dxa"/>
            <w:vAlign w:val="center"/>
          </w:tcPr>
          <w:p w14:paraId="35DDD91D">
            <w:pPr>
              <w:jc w:val="center"/>
              <w:rPr>
                <w:rFonts w:hint="default" w:ascii="宋体" w:hAnsi="宋体" w:eastAsia="宋体"/>
                <w:color w:val="auto"/>
                <w:kern w:val="0"/>
                <w:sz w:val="18"/>
                <w:szCs w:val="18"/>
                <w:lang w:val="en-US" w:eastAsia="zh-CN"/>
              </w:rPr>
            </w:pPr>
            <w:r>
              <w:rPr>
                <w:rFonts w:hint="eastAsia" w:ascii="宋体" w:hAnsi="宋体"/>
                <w:color w:val="auto"/>
                <w:kern w:val="0"/>
                <w:sz w:val="18"/>
                <w:szCs w:val="18"/>
                <w:lang w:val="en-US" w:eastAsia="zh-CN"/>
              </w:rPr>
              <w:t>评价总得分（ES)</w:t>
            </w:r>
          </w:p>
        </w:tc>
        <w:tc>
          <w:tcPr>
            <w:tcW w:w="3920" w:type="dxa"/>
            <w:vAlign w:val="center"/>
          </w:tcPr>
          <w:p w14:paraId="1ADF1098">
            <w:pPr>
              <w:jc w:val="center"/>
              <w:rPr>
                <w:rFonts w:hint="eastAsia" w:ascii="宋体" w:hAnsi="宋体"/>
                <w:color w:val="auto"/>
                <w:kern w:val="0"/>
                <w:sz w:val="18"/>
                <w:szCs w:val="18"/>
              </w:rPr>
            </w:pPr>
            <w:r>
              <w:rPr>
                <w:rFonts w:hint="eastAsia" w:ascii="宋体" w:hAnsi="宋体"/>
                <w:color w:val="auto"/>
                <w:kern w:val="0"/>
                <w:sz w:val="18"/>
                <w:szCs w:val="18"/>
              </w:rPr>
              <w:t>评定等级</w:t>
            </w:r>
          </w:p>
        </w:tc>
      </w:tr>
      <w:tr w14:paraId="0C2F7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160" w:type="dxa"/>
            <w:vAlign w:val="center"/>
          </w:tcPr>
          <w:p w14:paraId="774A9018">
            <w:pPr>
              <w:keepNext w:val="0"/>
              <w:keepLines w:val="0"/>
              <w:widowControl/>
              <w:suppressLineNumbers w:val="0"/>
              <w:jc w:val="center"/>
              <w:rPr>
                <w:rFonts w:hint="eastAsia" w:ascii="宋体" w:hAnsi="宋体"/>
                <w:color w:val="auto"/>
                <w:kern w:val="0"/>
                <w:sz w:val="18"/>
                <w:szCs w:val="18"/>
              </w:rPr>
            </w:pPr>
            <w:r>
              <w:rPr>
                <w:rFonts w:hint="eastAsia" w:ascii="宋体" w:hAnsi="宋体" w:eastAsia="宋体" w:cs="宋体"/>
                <w:color w:val="auto"/>
                <w:kern w:val="0"/>
                <w:sz w:val="18"/>
                <w:szCs w:val="18"/>
                <w:lang w:val="en-US" w:eastAsia="zh-CN" w:bidi="ar"/>
              </w:rPr>
              <w:t>950≤E</w:t>
            </w:r>
            <w:r>
              <w:rPr>
                <w:rFonts w:hint="eastAsia" w:ascii="宋体" w:hAnsi="宋体" w:cs="宋体"/>
                <w:color w:val="auto"/>
                <w:kern w:val="0"/>
                <w:sz w:val="18"/>
                <w:szCs w:val="18"/>
                <w:lang w:val="en-US" w:eastAsia="zh-CN" w:bidi="ar"/>
              </w:rPr>
              <w:t>S</w:t>
            </w:r>
            <w:r>
              <w:rPr>
                <w:rFonts w:hint="eastAsia" w:ascii="宋体" w:hAnsi="宋体" w:eastAsia="宋体" w:cs="宋体"/>
                <w:color w:val="auto"/>
                <w:kern w:val="0"/>
                <w:sz w:val="18"/>
                <w:szCs w:val="18"/>
                <w:lang w:val="en-US" w:eastAsia="zh-CN" w:bidi="ar"/>
              </w:rPr>
              <w:t>≤1000</w:t>
            </w:r>
          </w:p>
        </w:tc>
        <w:tc>
          <w:tcPr>
            <w:tcW w:w="3920" w:type="dxa"/>
            <w:vAlign w:val="center"/>
          </w:tcPr>
          <w:p w14:paraId="0286E5EE">
            <w:pPr>
              <w:keepNext w:val="0"/>
              <w:keepLines w:val="0"/>
              <w:widowControl/>
              <w:suppressLineNumbers w:val="0"/>
              <w:jc w:val="center"/>
              <w:rPr>
                <w:rFonts w:hint="eastAsia" w:ascii="宋体" w:hAnsi="宋体"/>
                <w:color w:val="auto"/>
                <w:kern w:val="0"/>
                <w:sz w:val="18"/>
                <w:szCs w:val="18"/>
              </w:rPr>
            </w:pPr>
            <w:r>
              <w:rPr>
                <w:rFonts w:hint="eastAsia" w:ascii="宋体" w:hAnsi="宋体" w:cs="宋体"/>
                <w:color w:val="auto"/>
                <w:kern w:val="0"/>
                <w:sz w:val="18"/>
                <w:szCs w:val="18"/>
                <w:lang w:val="en-US" w:eastAsia="zh-CN" w:bidi="ar"/>
              </w:rPr>
              <w:t>AAAAA</w:t>
            </w:r>
            <w:r>
              <w:rPr>
                <w:rFonts w:hint="eastAsia" w:ascii="宋体" w:hAnsi="宋体" w:eastAsia="宋体" w:cs="宋体"/>
                <w:color w:val="auto"/>
                <w:kern w:val="0"/>
                <w:sz w:val="18"/>
                <w:szCs w:val="18"/>
                <w:lang w:val="en-US" w:eastAsia="zh-CN" w:bidi="ar"/>
              </w:rPr>
              <w:t>级服务</w:t>
            </w:r>
          </w:p>
        </w:tc>
      </w:tr>
      <w:tr w14:paraId="294C3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160" w:type="dxa"/>
            <w:vAlign w:val="center"/>
          </w:tcPr>
          <w:p w14:paraId="14CDFE6C">
            <w:pPr>
              <w:keepNext w:val="0"/>
              <w:keepLines w:val="0"/>
              <w:widowControl/>
              <w:suppressLineNumbers w:val="0"/>
              <w:jc w:val="center"/>
              <w:rPr>
                <w:rFonts w:hint="eastAsia" w:ascii="宋体" w:hAnsi="宋体"/>
                <w:color w:val="auto"/>
                <w:kern w:val="0"/>
                <w:sz w:val="18"/>
                <w:szCs w:val="18"/>
              </w:rPr>
            </w:pPr>
            <w:r>
              <w:rPr>
                <w:rFonts w:hint="eastAsia" w:ascii="宋体" w:hAnsi="宋体" w:eastAsia="宋体" w:cs="宋体"/>
                <w:color w:val="auto"/>
                <w:kern w:val="0"/>
                <w:sz w:val="18"/>
                <w:szCs w:val="18"/>
                <w:lang w:val="en-US" w:eastAsia="zh-CN" w:bidi="ar"/>
              </w:rPr>
              <w:t>900≤E</w:t>
            </w:r>
            <w:r>
              <w:rPr>
                <w:rFonts w:hint="eastAsia" w:ascii="宋体" w:hAnsi="宋体" w:cs="宋体"/>
                <w:color w:val="auto"/>
                <w:kern w:val="0"/>
                <w:sz w:val="18"/>
                <w:szCs w:val="18"/>
                <w:lang w:val="en-US" w:eastAsia="zh-CN" w:bidi="ar"/>
              </w:rPr>
              <w:t>S</w:t>
            </w:r>
            <w:r>
              <w:rPr>
                <w:rFonts w:hint="eastAsia" w:ascii="宋体" w:hAnsi="宋体" w:eastAsia="宋体" w:cs="宋体"/>
                <w:color w:val="auto"/>
                <w:kern w:val="0"/>
                <w:sz w:val="18"/>
                <w:szCs w:val="18"/>
                <w:lang w:val="en-US" w:eastAsia="zh-CN" w:bidi="ar"/>
              </w:rPr>
              <w:t>＜950</w:t>
            </w:r>
          </w:p>
        </w:tc>
        <w:tc>
          <w:tcPr>
            <w:tcW w:w="3920" w:type="dxa"/>
            <w:vAlign w:val="center"/>
          </w:tcPr>
          <w:p w14:paraId="3DA620FC">
            <w:pPr>
              <w:keepNext w:val="0"/>
              <w:keepLines w:val="0"/>
              <w:widowControl/>
              <w:suppressLineNumbers w:val="0"/>
              <w:jc w:val="center"/>
              <w:rPr>
                <w:rFonts w:hint="eastAsia" w:ascii="宋体" w:hAnsi="宋体"/>
                <w:color w:val="auto"/>
                <w:kern w:val="0"/>
                <w:sz w:val="18"/>
                <w:szCs w:val="18"/>
              </w:rPr>
            </w:pPr>
            <w:r>
              <w:rPr>
                <w:rFonts w:hint="eastAsia" w:ascii="宋体" w:hAnsi="宋体" w:cs="宋体"/>
                <w:color w:val="auto"/>
                <w:kern w:val="0"/>
                <w:sz w:val="18"/>
                <w:szCs w:val="18"/>
                <w:lang w:val="en-US" w:eastAsia="zh-CN" w:bidi="ar"/>
              </w:rPr>
              <w:t>AAAA</w:t>
            </w:r>
            <w:r>
              <w:rPr>
                <w:rFonts w:hint="eastAsia" w:ascii="宋体" w:hAnsi="宋体" w:eastAsia="宋体" w:cs="宋体"/>
                <w:color w:val="auto"/>
                <w:kern w:val="0"/>
                <w:sz w:val="18"/>
                <w:szCs w:val="18"/>
                <w:lang w:val="en-US" w:eastAsia="zh-CN" w:bidi="ar"/>
              </w:rPr>
              <w:t>级服务</w:t>
            </w:r>
          </w:p>
        </w:tc>
      </w:tr>
      <w:tr w14:paraId="5ED85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160" w:type="dxa"/>
            <w:vAlign w:val="center"/>
          </w:tcPr>
          <w:p w14:paraId="6B05D5BE">
            <w:pPr>
              <w:keepNext w:val="0"/>
              <w:keepLines w:val="0"/>
              <w:widowControl/>
              <w:suppressLineNumbers w:val="0"/>
              <w:jc w:val="center"/>
              <w:rPr>
                <w:rFonts w:hint="eastAsia" w:ascii="宋体" w:hAnsi="宋体"/>
                <w:color w:val="auto"/>
                <w:kern w:val="0"/>
                <w:sz w:val="18"/>
                <w:szCs w:val="18"/>
              </w:rPr>
            </w:pPr>
            <w:r>
              <w:rPr>
                <w:rFonts w:hint="eastAsia" w:ascii="宋体" w:hAnsi="宋体" w:eastAsia="宋体" w:cs="宋体"/>
                <w:color w:val="auto"/>
                <w:kern w:val="0"/>
                <w:sz w:val="18"/>
                <w:szCs w:val="18"/>
                <w:lang w:val="en-US" w:eastAsia="zh-CN" w:bidi="ar"/>
              </w:rPr>
              <w:t>800≤E</w:t>
            </w:r>
            <w:r>
              <w:rPr>
                <w:rFonts w:hint="eastAsia" w:ascii="宋体" w:hAnsi="宋体" w:cs="宋体"/>
                <w:color w:val="auto"/>
                <w:kern w:val="0"/>
                <w:sz w:val="18"/>
                <w:szCs w:val="18"/>
                <w:lang w:val="en-US" w:eastAsia="zh-CN" w:bidi="ar"/>
              </w:rPr>
              <w:t>S</w:t>
            </w:r>
            <w:r>
              <w:rPr>
                <w:rFonts w:hint="eastAsia" w:ascii="宋体" w:hAnsi="宋体" w:eastAsia="宋体" w:cs="宋体"/>
                <w:color w:val="auto"/>
                <w:kern w:val="0"/>
                <w:sz w:val="18"/>
                <w:szCs w:val="18"/>
                <w:lang w:val="en-US" w:eastAsia="zh-CN" w:bidi="ar"/>
              </w:rPr>
              <w:t>＜900</w:t>
            </w:r>
          </w:p>
        </w:tc>
        <w:tc>
          <w:tcPr>
            <w:tcW w:w="3920" w:type="dxa"/>
            <w:vAlign w:val="center"/>
          </w:tcPr>
          <w:p w14:paraId="59E5C58B">
            <w:pPr>
              <w:keepNext w:val="0"/>
              <w:keepLines w:val="0"/>
              <w:widowControl/>
              <w:suppressLineNumbers w:val="0"/>
              <w:jc w:val="center"/>
              <w:rPr>
                <w:rFonts w:hint="eastAsia" w:ascii="宋体" w:hAnsi="宋体"/>
                <w:color w:val="auto"/>
                <w:kern w:val="0"/>
                <w:sz w:val="18"/>
                <w:szCs w:val="18"/>
              </w:rPr>
            </w:pPr>
            <w:r>
              <w:rPr>
                <w:rFonts w:hint="eastAsia" w:ascii="宋体" w:hAnsi="宋体" w:cs="宋体"/>
                <w:color w:val="auto"/>
                <w:kern w:val="0"/>
                <w:sz w:val="18"/>
                <w:szCs w:val="18"/>
                <w:lang w:val="en-US" w:eastAsia="zh-CN" w:bidi="ar"/>
              </w:rPr>
              <w:t>AAA</w:t>
            </w:r>
            <w:r>
              <w:rPr>
                <w:rFonts w:hint="eastAsia" w:ascii="宋体" w:hAnsi="宋体" w:eastAsia="宋体" w:cs="宋体"/>
                <w:color w:val="auto"/>
                <w:kern w:val="0"/>
                <w:sz w:val="18"/>
                <w:szCs w:val="18"/>
                <w:lang w:val="en-US" w:eastAsia="zh-CN" w:bidi="ar"/>
              </w:rPr>
              <w:t>级服务</w:t>
            </w:r>
          </w:p>
        </w:tc>
      </w:tr>
      <w:tr w14:paraId="0FAEB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160" w:type="dxa"/>
            <w:vAlign w:val="center"/>
          </w:tcPr>
          <w:p w14:paraId="1259F4FE">
            <w:pPr>
              <w:keepNext w:val="0"/>
              <w:keepLines w:val="0"/>
              <w:widowControl/>
              <w:suppressLineNumbers w:val="0"/>
              <w:jc w:val="center"/>
              <w:rPr>
                <w:rFonts w:hint="eastAsia" w:ascii="宋体" w:hAnsi="宋体"/>
                <w:color w:val="auto"/>
                <w:kern w:val="0"/>
                <w:sz w:val="18"/>
                <w:szCs w:val="18"/>
              </w:rPr>
            </w:pPr>
            <w:r>
              <w:rPr>
                <w:rFonts w:hint="eastAsia" w:ascii="宋体" w:hAnsi="宋体" w:eastAsia="宋体" w:cs="宋体"/>
                <w:color w:val="auto"/>
                <w:kern w:val="0"/>
                <w:sz w:val="18"/>
                <w:szCs w:val="18"/>
                <w:lang w:val="en-US" w:eastAsia="zh-CN" w:bidi="ar"/>
              </w:rPr>
              <w:t>700≤E</w:t>
            </w:r>
            <w:r>
              <w:rPr>
                <w:rFonts w:hint="eastAsia" w:ascii="宋体" w:hAnsi="宋体" w:cs="宋体"/>
                <w:color w:val="auto"/>
                <w:kern w:val="0"/>
                <w:sz w:val="18"/>
                <w:szCs w:val="18"/>
                <w:lang w:val="en-US" w:eastAsia="zh-CN" w:bidi="ar"/>
              </w:rPr>
              <w:t>S</w:t>
            </w:r>
            <w:r>
              <w:rPr>
                <w:rFonts w:hint="eastAsia" w:ascii="宋体" w:hAnsi="宋体" w:eastAsia="宋体" w:cs="宋体"/>
                <w:color w:val="auto"/>
                <w:kern w:val="0"/>
                <w:sz w:val="18"/>
                <w:szCs w:val="18"/>
                <w:lang w:val="en-US" w:eastAsia="zh-CN" w:bidi="ar"/>
              </w:rPr>
              <w:t>＜800</w:t>
            </w:r>
          </w:p>
        </w:tc>
        <w:tc>
          <w:tcPr>
            <w:tcW w:w="3920" w:type="dxa"/>
            <w:vAlign w:val="center"/>
          </w:tcPr>
          <w:p w14:paraId="19ED2441">
            <w:pPr>
              <w:keepNext w:val="0"/>
              <w:keepLines w:val="0"/>
              <w:widowControl/>
              <w:suppressLineNumbers w:val="0"/>
              <w:jc w:val="center"/>
              <w:rPr>
                <w:rFonts w:hint="eastAsia" w:ascii="宋体" w:hAnsi="宋体"/>
                <w:color w:val="auto"/>
                <w:kern w:val="0"/>
                <w:sz w:val="18"/>
                <w:szCs w:val="18"/>
              </w:rPr>
            </w:pPr>
            <w:r>
              <w:rPr>
                <w:rFonts w:hint="eastAsia" w:ascii="宋体" w:hAnsi="宋体" w:cs="宋体"/>
                <w:color w:val="auto"/>
                <w:kern w:val="0"/>
                <w:sz w:val="18"/>
                <w:szCs w:val="18"/>
                <w:lang w:val="en-US" w:eastAsia="zh-CN" w:bidi="ar"/>
              </w:rPr>
              <w:t>AA</w:t>
            </w:r>
            <w:r>
              <w:rPr>
                <w:rFonts w:hint="eastAsia" w:ascii="宋体" w:hAnsi="宋体" w:eastAsia="宋体" w:cs="宋体"/>
                <w:color w:val="auto"/>
                <w:kern w:val="0"/>
                <w:sz w:val="18"/>
                <w:szCs w:val="18"/>
                <w:lang w:val="en-US" w:eastAsia="zh-CN" w:bidi="ar"/>
              </w:rPr>
              <w:t>级服务</w:t>
            </w:r>
          </w:p>
        </w:tc>
      </w:tr>
      <w:tr w14:paraId="7FA2D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160" w:type="dxa"/>
            <w:vAlign w:val="center"/>
          </w:tcPr>
          <w:p w14:paraId="32569917">
            <w:pPr>
              <w:keepNext w:val="0"/>
              <w:keepLines w:val="0"/>
              <w:widowControl/>
              <w:suppressLineNumbers w:val="0"/>
              <w:jc w:val="center"/>
              <w:rPr>
                <w:rFonts w:hint="eastAsia" w:ascii="宋体" w:hAnsi="宋体"/>
                <w:color w:val="1D41D5"/>
                <w:kern w:val="0"/>
                <w:sz w:val="18"/>
                <w:szCs w:val="18"/>
              </w:rPr>
            </w:pPr>
            <w:r>
              <w:rPr>
                <w:rFonts w:hint="eastAsia" w:ascii="宋体" w:hAnsi="宋体" w:eastAsia="宋体" w:cs="宋体"/>
                <w:color w:val="auto"/>
                <w:kern w:val="0"/>
                <w:sz w:val="18"/>
                <w:szCs w:val="18"/>
                <w:lang w:val="en-US" w:eastAsia="zh-CN" w:bidi="ar"/>
              </w:rPr>
              <w:t>E</w:t>
            </w:r>
            <w:r>
              <w:rPr>
                <w:rFonts w:hint="eastAsia" w:ascii="宋体" w:hAnsi="宋体" w:cs="宋体"/>
                <w:color w:val="auto"/>
                <w:kern w:val="0"/>
                <w:sz w:val="18"/>
                <w:szCs w:val="18"/>
                <w:lang w:val="en-US" w:eastAsia="zh-CN" w:bidi="ar"/>
              </w:rPr>
              <w:t>S</w:t>
            </w:r>
            <w:r>
              <w:rPr>
                <w:rFonts w:hint="eastAsia" w:ascii="宋体" w:hAnsi="宋体" w:eastAsia="宋体" w:cs="宋体"/>
                <w:color w:val="auto"/>
                <w:kern w:val="0"/>
                <w:sz w:val="18"/>
                <w:szCs w:val="18"/>
                <w:lang w:val="en-US" w:eastAsia="zh-CN" w:bidi="ar"/>
              </w:rPr>
              <w:t>＜700</w:t>
            </w:r>
          </w:p>
        </w:tc>
        <w:tc>
          <w:tcPr>
            <w:tcW w:w="3920" w:type="dxa"/>
            <w:vAlign w:val="center"/>
          </w:tcPr>
          <w:p w14:paraId="78936F9A">
            <w:pPr>
              <w:keepNext w:val="0"/>
              <w:keepLines w:val="0"/>
              <w:widowControl/>
              <w:suppressLineNumbers w:val="0"/>
              <w:jc w:val="center"/>
              <w:rPr>
                <w:rFonts w:hint="eastAsia" w:ascii="宋体" w:hAnsi="宋体"/>
                <w:color w:val="1D41D5"/>
                <w:kern w:val="0"/>
                <w:sz w:val="18"/>
                <w:szCs w:val="18"/>
              </w:rPr>
            </w:pPr>
            <w:r>
              <w:rPr>
                <w:rFonts w:hint="eastAsia" w:ascii="宋体" w:hAnsi="宋体" w:eastAsia="宋体" w:cs="宋体"/>
                <w:color w:val="1D41D5"/>
                <w:kern w:val="0"/>
                <w:sz w:val="18"/>
                <w:szCs w:val="18"/>
                <w:lang w:val="en-US" w:eastAsia="zh-CN" w:bidi="ar"/>
              </w:rPr>
              <w:t>/</w:t>
            </w:r>
          </w:p>
        </w:tc>
      </w:tr>
    </w:tbl>
    <w:p w14:paraId="39A3D101">
      <w:pPr>
        <w:rPr>
          <w:rFonts w:hint="eastAsia" w:ascii="宋体" w:hAnsi="宋体"/>
          <w:color w:val="000000"/>
          <w:szCs w:val="21"/>
        </w:rPr>
      </w:pPr>
    </w:p>
    <w:p w14:paraId="1FF5C0AA">
      <w:pPr>
        <w:rPr>
          <w:rFonts w:hint="eastAsia" w:ascii="宋体" w:hAnsi="宋体" w:cs="宋体"/>
          <w:szCs w:val="21"/>
          <w:u w:val="single"/>
        </w:rPr>
      </w:pPr>
    </w:p>
    <w:bookmarkEnd w:id="36"/>
    <w:bookmarkEnd w:id="37"/>
    <w:bookmarkEnd w:id="38"/>
    <w:bookmarkEnd w:id="39"/>
    <w:bookmarkEnd w:id="40"/>
    <w:bookmarkEnd w:id="41"/>
    <w:bookmarkEnd w:id="42"/>
    <w:bookmarkEnd w:id="43"/>
    <w:bookmarkEnd w:id="53"/>
    <w:p w14:paraId="1B57CD9C">
      <w:pPr>
        <w:rPr>
          <w:rFonts w:hint="eastAsia" w:ascii="宋体" w:hAnsi="宋体" w:cs="宋体"/>
          <w:sz w:val="24"/>
          <w:szCs w:val="24"/>
          <w:highlight w:val="yellow"/>
          <w:lang w:val="en-US" w:eastAsia="zh-CN"/>
        </w:rPr>
      </w:pPr>
    </w:p>
    <w:p w14:paraId="1A7782D7">
      <w:pPr>
        <w:rPr>
          <w:rFonts w:hint="eastAsia" w:ascii="宋体" w:hAnsi="宋体" w:cs="宋体"/>
          <w:sz w:val="24"/>
          <w:szCs w:val="24"/>
          <w:highlight w:val="yellow"/>
          <w:lang w:val="en-US" w:eastAsia="zh-CN"/>
        </w:rPr>
      </w:pPr>
    </w:p>
    <w:p w14:paraId="6233D96B">
      <w:pPr>
        <w:rPr>
          <w:rFonts w:hint="default" w:ascii="宋体" w:hAnsi="宋体" w:cs="宋体"/>
          <w:sz w:val="24"/>
          <w:szCs w:val="24"/>
          <w:highlight w:val="yellow"/>
          <w:lang w:val="en-US" w:eastAsia="zh-CN"/>
        </w:rPr>
        <w:sectPr>
          <w:footerReference r:id="rId8" w:type="default"/>
          <w:pgSz w:w="11910" w:h="16840"/>
          <w:pgMar w:top="1418" w:right="1418" w:bottom="1134" w:left="1418" w:header="1418" w:footer="850" w:gutter="0"/>
          <w:cols w:space="720" w:num="1"/>
          <w:docGrid w:linePitch="286" w:charSpace="0"/>
        </w:sectPr>
      </w:pPr>
    </w:p>
    <w:p w14:paraId="693649E4">
      <w:pPr>
        <w:pStyle w:val="2"/>
        <w:spacing w:beforeAutospacing="0" w:afterAutospacing="0"/>
        <w:jc w:val="center"/>
        <w:rPr>
          <w:rFonts w:ascii="黑体" w:hAnsi="黑体" w:eastAsia="黑体" w:cs="黑体"/>
          <w:szCs w:val="21"/>
        </w:rPr>
      </w:pPr>
      <w:bookmarkStart w:id="135" w:name="_Toc197723397"/>
      <w:bookmarkStart w:id="136" w:name="_Toc16728"/>
      <w:r>
        <w:rPr>
          <w:rFonts w:ascii="黑体" w:hAnsi="黑体" w:eastAsia="黑体" w:cs="黑体"/>
          <w:sz w:val="21"/>
          <w:szCs w:val="21"/>
        </w:rPr>
        <w:t>附录A</w:t>
      </w:r>
      <w:bookmarkEnd w:id="135"/>
      <w:bookmarkEnd w:id="136"/>
    </w:p>
    <w:p w14:paraId="0C1AE4F1">
      <w:pPr>
        <w:jc w:val="center"/>
        <w:rPr>
          <w:rFonts w:hint="eastAsia" w:ascii="黑体" w:hAnsi="黑体" w:eastAsia="黑体" w:cs="黑体"/>
          <w:szCs w:val="21"/>
        </w:rPr>
      </w:pPr>
      <w:r>
        <w:rPr>
          <w:rFonts w:hint="eastAsia" w:ascii="黑体" w:hAnsi="黑体" w:eastAsia="黑体" w:cs="黑体"/>
          <w:szCs w:val="21"/>
        </w:rPr>
        <w:t>（规范性）</w:t>
      </w:r>
    </w:p>
    <w:p w14:paraId="18557E28">
      <w:pPr>
        <w:jc w:val="center"/>
        <w:rPr>
          <w:rFonts w:hint="eastAsia" w:ascii="黑体" w:hAnsi="黑体" w:eastAsia="黑体" w:cs="黑体"/>
          <w:szCs w:val="21"/>
        </w:rPr>
      </w:pPr>
      <w:r>
        <w:rPr>
          <w:rFonts w:hint="eastAsia" w:ascii="黑体" w:hAnsi="黑体" w:eastAsia="黑体" w:cs="黑体"/>
          <w:szCs w:val="21"/>
        </w:rPr>
        <w:t>产业园区物业服务质量评价表</w:t>
      </w:r>
    </w:p>
    <w:p w14:paraId="692202AB">
      <w:pPr>
        <w:pStyle w:val="228"/>
        <w:ind w:firstLine="420"/>
        <w:rPr>
          <w:highlight w:val="none"/>
        </w:rPr>
      </w:pPr>
      <w:r>
        <w:rPr>
          <w:rFonts w:hint="eastAsia"/>
          <w:lang w:eastAsia="zh-CN"/>
        </w:rPr>
        <w:t>产业园区</w:t>
      </w:r>
      <w:r>
        <w:rPr>
          <w:rFonts w:hint="eastAsia"/>
        </w:rPr>
        <w:t>物业服务质量评价指标及取值规则</w:t>
      </w:r>
      <w:r>
        <w:rPr>
          <w:rFonts w:hint="eastAsia"/>
          <w:highlight w:val="none"/>
        </w:rPr>
        <w:t>见表A.1。</w:t>
      </w:r>
    </w:p>
    <w:p w14:paraId="76D3A536">
      <w:pPr>
        <w:pStyle w:val="240"/>
        <w:spacing w:before="120" w:after="120"/>
        <w:rPr>
          <w:color w:val="auto"/>
          <w:sz w:val="13"/>
          <w:szCs w:val="13"/>
        </w:rPr>
      </w:pPr>
      <w:r>
        <w:rPr>
          <w:rFonts w:hint="eastAsia"/>
          <w:color w:val="auto"/>
          <w:lang w:eastAsia="zh-CN"/>
        </w:rPr>
        <w:t>产业园区</w:t>
      </w:r>
      <w:r>
        <w:rPr>
          <w:rFonts w:hint="eastAsia"/>
          <w:color w:val="auto"/>
        </w:rPr>
        <w:t>物业服务质量评价指标及取值规则</w:t>
      </w:r>
    </w:p>
    <w:tbl>
      <w:tblPr>
        <w:tblStyle w:val="38"/>
        <w:tblW w:w="1456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7"/>
        <w:gridCol w:w="975"/>
        <w:gridCol w:w="1215"/>
        <w:gridCol w:w="855"/>
        <w:gridCol w:w="4800"/>
        <w:gridCol w:w="2400"/>
        <w:gridCol w:w="3345"/>
      </w:tblGrid>
      <w:tr w14:paraId="7AD46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32C6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4A71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9D4E">
            <w:pPr>
              <w:jc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F19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分值</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E087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0"/>
                <w:szCs w:val="20"/>
                <w:u w:val="none"/>
                <w:lang w:val="en-US" w:eastAsia="zh-CN" w:bidi="ar"/>
              </w:rPr>
              <w:t>指标说明</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909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0"/>
                <w:szCs w:val="20"/>
                <w:u w:val="none"/>
                <w:lang w:val="en-US" w:eastAsia="zh-CN" w:bidi="ar"/>
              </w:rPr>
              <w:t>评价方式</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D4F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0"/>
                <w:szCs w:val="20"/>
                <w:u w:val="none"/>
                <w:lang w:val="en-US" w:eastAsia="zh-CN" w:bidi="ar"/>
              </w:rPr>
              <w:t>打分说明</w:t>
            </w:r>
          </w:p>
        </w:tc>
      </w:tr>
      <w:tr w14:paraId="6160E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8AA3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服务资源（200分）</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D0B0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服务组织（40分）</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F9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组织信用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87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13F5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在经营活动中无重大违法记录，无重大安全责任事故，未收到行政处罚、未列入失信名单</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65C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政府相关行政处罚公示信息查询</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AC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如有，得0分</w:t>
            </w:r>
          </w:p>
        </w:tc>
      </w:tr>
      <w:tr w14:paraId="62D2F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A10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9EF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F6F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机构设置及人员配置</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444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F8B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根据物业服务范围，设置组织机构和相应部门，分工明确，职责清晰，且根据合同约定内容、客户需求，设置人员和岗位编制，岗位要求、职责清晰</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03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查看相关文件</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708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有组织架构及岗位职责文件，按符合程度得0～10分，每发现一处不符合扣1分，扣完为止；无相关文件得0分</w:t>
            </w:r>
          </w:p>
        </w:tc>
      </w:tr>
      <w:tr w14:paraId="49BCE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3B0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BF9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B54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管理制度或标准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40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0B65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根据合同约定及客户需求，建立项目运行必要的管理制度或标准，如客户管理制度、财务管理制度、人员管理制度、服务质量管理制度等，或建立管理标准、作业标准、服务质量标准、岗位标准等</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E2E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查阅文件，重点检查制度文件内容与实际运行是否相符</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621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有相关文件，依据符合要求的程度得0～12分，每发现一处不符合扣2分，扣完为止；无相关文件，得0分</w:t>
            </w:r>
          </w:p>
        </w:tc>
      </w:tr>
      <w:tr w14:paraId="6B75A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781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8EA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6F0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文化建设</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B94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FDA7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物业管理项目现场能体现企业文化、精神、价值观，同时通过各种方式和途径增强员工认同感、归属感，提升企业核心竞争力，开展企业文化建设</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502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查看相关文件</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CF9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有相关文件，得8分；无相关文件，得0分</w:t>
            </w:r>
          </w:p>
        </w:tc>
      </w:tr>
      <w:tr w14:paraId="0EE3C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68A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CA3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服务人员</w:t>
            </w:r>
            <w:r>
              <w:rPr>
                <w:rFonts w:hint="eastAsia" w:ascii="宋体" w:hAnsi="宋体" w:cs="宋体"/>
                <w:i w:val="0"/>
                <w:iCs w:val="0"/>
                <w:color w:val="000000"/>
                <w:kern w:val="0"/>
                <w:sz w:val="18"/>
                <w:szCs w:val="18"/>
                <w:u w:val="none"/>
                <w:lang w:val="en-US" w:eastAsia="zh-CN" w:bidi="ar"/>
              </w:rPr>
              <w:t>（40分）</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767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人员资质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E5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B86D">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①</w:t>
            </w:r>
            <w:r>
              <w:rPr>
                <w:rStyle w:val="234"/>
                <w:lang w:val="en-US" w:eastAsia="zh-CN" w:bidi="ar"/>
              </w:rPr>
              <w:t>管理人员应具备与岗位要求匹配的专业能力，需具备从业资格相应证书或职称，如消防、工程、管理、经济类等职称或国家认可的职业技能等级证书；</w:t>
            </w:r>
            <w:r>
              <w:rPr>
                <w:rStyle w:val="234"/>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②</w:t>
            </w:r>
            <w:r>
              <w:rPr>
                <w:rStyle w:val="234"/>
                <w:lang w:val="en-US" w:eastAsia="zh-CN" w:bidi="ar"/>
              </w:rPr>
              <w:t>技术操作岗位，如水电等特种作业人员应持有专业部门颁发的合规有效证书，在岗人与证书持有人一致：</w:t>
            </w:r>
            <w:r>
              <w:rPr>
                <w:rStyle w:val="234"/>
                <w:lang w:val="en-US" w:eastAsia="zh-CN" w:bidi="ar"/>
              </w:rPr>
              <w:br w:type="textWrapping"/>
            </w:r>
            <w:r>
              <w:rPr>
                <w:rStyle w:val="234"/>
                <w:lang w:val="en-US" w:eastAsia="zh-CN" w:bidi="ar"/>
              </w:rPr>
              <w:t>a.特种设备安全管理A证：至少1证；</w:t>
            </w:r>
            <w:r>
              <w:rPr>
                <w:rStyle w:val="234"/>
                <w:lang w:val="en-US" w:eastAsia="zh-CN" w:bidi="ar"/>
              </w:rPr>
              <w:br w:type="textWrapping"/>
            </w:r>
            <w:r>
              <w:rPr>
                <w:rStyle w:val="234"/>
                <w:lang w:val="en-US" w:eastAsia="zh-CN" w:bidi="ar"/>
              </w:rPr>
              <w:t>b.建筑消防设施操作员（有联动控制设备的要求中级/四级及以上级别证书）：至少6证；</w:t>
            </w:r>
            <w:r>
              <w:rPr>
                <w:rStyle w:val="234"/>
                <w:lang w:val="en-US" w:eastAsia="zh-CN" w:bidi="ar"/>
              </w:rPr>
              <w:br w:type="textWrapping"/>
            </w:r>
            <w:r>
              <w:rPr>
                <w:rStyle w:val="234"/>
                <w:lang w:val="en-US" w:eastAsia="zh-CN" w:bidi="ar"/>
              </w:rPr>
              <w:t>c.高压、低压电工作业证：各至少1证（如高压值班室有专人值班的，则至少3证）；</w:t>
            </w:r>
            <w:r>
              <w:rPr>
                <w:rStyle w:val="234"/>
                <w:lang w:val="en-US" w:eastAsia="zh-CN" w:bidi="ar"/>
              </w:rPr>
              <w:br w:type="textWrapping"/>
            </w:r>
            <w:r>
              <w:rPr>
                <w:rStyle w:val="234"/>
                <w:lang w:val="en-US" w:eastAsia="zh-CN" w:bidi="ar"/>
              </w:rPr>
              <w:t>d.制冷与空调设备运行操作作业、锅炉作业G证等</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222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查阅证书，并核验证书是否在有效期内</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C91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依据符合要求的程度得0～10分，每少一证扣1分，扣完为止</w:t>
            </w:r>
          </w:p>
        </w:tc>
      </w:tr>
    </w:tbl>
    <w:p w14:paraId="1859E0C9">
      <w:pPr>
        <w:rPr>
          <w:rFonts w:hint="eastAsia" w:ascii="宋体" w:hAnsi="宋体" w:cs="宋体"/>
          <w:sz w:val="18"/>
          <w:szCs w:val="18"/>
        </w:rPr>
      </w:pPr>
      <w:r>
        <w:rPr>
          <w:rFonts w:hint="eastAsia" w:ascii="宋体" w:hAnsi="宋体" w:cs="宋体"/>
          <w:sz w:val="18"/>
          <w:szCs w:val="18"/>
        </w:rPr>
        <w:br w:type="page"/>
      </w:r>
    </w:p>
    <w:tbl>
      <w:tblPr>
        <w:tblStyle w:val="38"/>
        <w:tblW w:w="1454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2"/>
        <w:gridCol w:w="975"/>
        <w:gridCol w:w="726"/>
        <w:gridCol w:w="796"/>
        <w:gridCol w:w="705"/>
        <w:gridCol w:w="4673"/>
        <w:gridCol w:w="2370"/>
        <w:gridCol w:w="3330"/>
      </w:tblGrid>
      <w:tr w14:paraId="4130D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blHeader/>
        </w:trPr>
        <w:tc>
          <w:tcPr>
            <w:tcW w:w="14547" w:type="dxa"/>
            <w:gridSpan w:val="8"/>
            <w:tcBorders>
              <w:top w:val="nil"/>
              <w:left w:val="nil"/>
              <w:bottom w:val="single" w:color="000000" w:sz="4" w:space="0"/>
              <w:right w:val="nil"/>
            </w:tcBorders>
            <w:shd w:val="clear" w:color="auto" w:fill="auto"/>
            <w:vAlign w:val="center"/>
          </w:tcPr>
          <w:p w14:paraId="1FF75BC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黑体" w:hAnsi="黑体" w:eastAsia="黑体" w:cs="黑体"/>
                <w:b w:val="0"/>
                <w:bCs w:val="0"/>
                <w:i w:val="0"/>
                <w:iCs w:val="0"/>
                <w:color w:val="auto"/>
                <w:kern w:val="0"/>
                <w:sz w:val="20"/>
                <w:szCs w:val="20"/>
                <w:u w:val="none"/>
                <w:lang w:val="en-US" w:eastAsia="zh-CN" w:bidi="ar"/>
              </w:rPr>
              <w:t>表A.1产业园区物业服务质量评价指标及取值规则（续）</w:t>
            </w:r>
          </w:p>
        </w:tc>
      </w:tr>
      <w:tr w14:paraId="227EC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blHeader/>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841E">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一级指标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9A1E">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二级指标</w:t>
            </w: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53ED42">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三级指标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42BE1">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分值</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4298">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指标说明</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C0890">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评价方式</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97179">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打分说明</w:t>
            </w:r>
          </w:p>
        </w:tc>
      </w:tr>
      <w:tr w14:paraId="00F8C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72" w:type="dxa"/>
            <w:vMerge w:val="restart"/>
            <w:tcBorders>
              <w:top w:val="single" w:color="000000" w:sz="4" w:space="0"/>
              <w:left w:val="single" w:color="000000" w:sz="4" w:space="0"/>
              <w:right w:val="single" w:color="000000" w:sz="4" w:space="0"/>
            </w:tcBorders>
            <w:shd w:val="clear" w:color="auto" w:fill="auto"/>
            <w:vAlign w:val="center"/>
          </w:tcPr>
          <w:p w14:paraId="745D30C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服务资源（200分</w:t>
            </w:r>
          </w:p>
        </w:tc>
        <w:tc>
          <w:tcPr>
            <w:tcW w:w="975" w:type="dxa"/>
            <w:vMerge w:val="restart"/>
            <w:tcBorders>
              <w:top w:val="single" w:color="000000" w:sz="4" w:space="0"/>
              <w:left w:val="single" w:color="000000" w:sz="4" w:space="0"/>
              <w:right w:val="single" w:color="000000" w:sz="4" w:space="0"/>
            </w:tcBorders>
            <w:shd w:val="clear" w:color="auto" w:fill="auto"/>
            <w:vAlign w:val="center"/>
          </w:tcPr>
          <w:p w14:paraId="570D500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服务人员（40分）</w:t>
            </w: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828C2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人员培训</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68D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D9C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根据服务内容，制定各专业人员培训计划并实施，内容包括但不限于服务标准、服务技能、安全、企业文化等培训实施记录完整，且具有持续性培训全面实施</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00A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查阅培训计划和相关实施记录，重点检查文件内容是否完善、适用，记录是否与文件规定一致并真实</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3045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有培训计划和记录，依据符合要求的程度，得0～10分，每发现一处不符合扣1分，扣完为止；无培训计划或记录的，得0分</w:t>
            </w:r>
          </w:p>
        </w:tc>
      </w:tr>
      <w:tr w14:paraId="5E29F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972" w:type="dxa"/>
            <w:vMerge w:val="continue"/>
            <w:tcBorders>
              <w:left w:val="single" w:color="000000" w:sz="4" w:space="0"/>
              <w:right w:val="single" w:color="000000" w:sz="4" w:space="0"/>
            </w:tcBorders>
            <w:shd w:val="clear" w:color="auto" w:fill="auto"/>
            <w:vAlign w:val="center"/>
          </w:tcPr>
          <w:p w14:paraId="57E64DAA">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0895DBF9">
            <w:pPr>
              <w:jc w:val="center"/>
              <w:rPr>
                <w:rFonts w:hint="eastAsia" w:ascii="宋体" w:hAnsi="宋体" w:eastAsia="宋体" w:cs="宋体"/>
                <w:i w:val="0"/>
                <w:iCs w:val="0"/>
                <w:color w:val="auto"/>
                <w:sz w:val="18"/>
                <w:szCs w:val="18"/>
                <w:u w:val="none"/>
              </w:rPr>
            </w:pPr>
          </w:p>
        </w:tc>
        <w:tc>
          <w:tcPr>
            <w:tcW w:w="15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6D82E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服务技能与素质</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58A1A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73108">
            <w:pPr>
              <w:keepNext w:val="0"/>
              <w:keepLines w:val="0"/>
              <w:widowControl/>
              <w:suppressLineNumbers w:val="0"/>
              <w:jc w:val="left"/>
              <w:textAlignment w:val="center"/>
              <w:rPr>
                <w:rFonts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①</w:t>
            </w:r>
            <w:r>
              <w:rPr>
                <w:rFonts w:hint="eastAsia" w:ascii="宋体" w:hAnsi="宋体" w:eastAsia="宋体" w:cs="宋体"/>
                <w:i w:val="0"/>
                <w:iCs w:val="0"/>
                <w:color w:val="auto"/>
                <w:kern w:val="0"/>
                <w:sz w:val="18"/>
                <w:szCs w:val="18"/>
                <w:u w:val="none"/>
                <w:lang w:val="en-US" w:eastAsia="zh-CN" w:bidi="ar"/>
              </w:rPr>
              <w:t>服务人员经过专业技能培训，熟知相关工作制度、服务标准、专业技能，能履行岗位职责涉外服务的岗位应具备相应的外语能力</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6371D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对现场服务人员进行随机抽查，查看现场员工仪容仪表、精神面貌、服务礼仪等情况</w:t>
            </w:r>
          </w:p>
        </w:tc>
        <w:tc>
          <w:tcPr>
            <w:tcW w:w="33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77DFF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依据</w:t>
            </w:r>
            <w:r>
              <w:rPr>
                <w:rFonts w:hint="eastAsia" w:ascii="宋体" w:hAnsi="宋体" w:cs="宋体"/>
                <w:i w:val="0"/>
                <w:iCs w:val="0"/>
                <w:color w:val="auto"/>
                <w:kern w:val="0"/>
                <w:sz w:val="18"/>
                <w:szCs w:val="18"/>
                <w:u w:val="none"/>
                <w:lang w:val="en-US" w:eastAsia="zh-CN" w:bidi="ar"/>
              </w:rPr>
              <w:t>符合</w:t>
            </w:r>
            <w:r>
              <w:rPr>
                <w:rFonts w:hint="eastAsia" w:ascii="宋体" w:hAnsi="宋体" w:eastAsia="宋体" w:cs="宋体"/>
                <w:i w:val="0"/>
                <w:iCs w:val="0"/>
                <w:color w:val="auto"/>
                <w:kern w:val="0"/>
                <w:sz w:val="18"/>
                <w:szCs w:val="18"/>
                <w:u w:val="none"/>
                <w:lang w:val="en-US" w:eastAsia="zh-CN" w:bidi="ar"/>
              </w:rPr>
              <w:t>要求的程度，得0～20分，每发现一处不符合扣2分，扣完为止</w:t>
            </w:r>
          </w:p>
        </w:tc>
      </w:tr>
      <w:tr w14:paraId="483DE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972" w:type="dxa"/>
            <w:vMerge w:val="continue"/>
            <w:tcBorders>
              <w:left w:val="single" w:color="000000" w:sz="4" w:space="0"/>
              <w:right w:val="single" w:color="000000" w:sz="4" w:space="0"/>
            </w:tcBorders>
            <w:shd w:val="clear" w:color="auto" w:fill="auto"/>
            <w:vAlign w:val="center"/>
          </w:tcPr>
          <w:p w14:paraId="37C15614">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bottom w:val="single" w:color="000000" w:sz="4" w:space="0"/>
              <w:right w:val="single" w:color="000000" w:sz="4" w:space="0"/>
            </w:tcBorders>
            <w:shd w:val="clear" w:color="auto" w:fill="auto"/>
            <w:vAlign w:val="center"/>
          </w:tcPr>
          <w:p w14:paraId="77547C05">
            <w:pPr>
              <w:jc w:val="center"/>
              <w:rPr>
                <w:rFonts w:hint="eastAsia" w:ascii="宋体" w:hAnsi="宋体" w:eastAsia="宋体" w:cs="宋体"/>
                <w:i w:val="0"/>
                <w:iCs w:val="0"/>
                <w:color w:val="auto"/>
                <w:sz w:val="18"/>
                <w:szCs w:val="18"/>
                <w:u w:val="none"/>
              </w:rPr>
            </w:pPr>
          </w:p>
        </w:tc>
        <w:tc>
          <w:tcPr>
            <w:tcW w:w="15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35A3F">
            <w:pPr>
              <w:jc w:val="center"/>
              <w:rPr>
                <w:rFonts w:hint="eastAsia" w:ascii="宋体" w:hAnsi="宋体" w:eastAsia="宋体" w:cs="宋体"/>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73D8C">
            <w:pPr>
              <w:jc w:val="center"/>
              <w:rPr>
                <w:rFonts w:hint="eastAsia" w:ascii="宋体" w:hAnsi="宋体" w:eastAsia="宋体" w:cs="宋体"/>
                <w:i w:val="0"/>
                <w:iCs w:val="0"/>
                <w:color w:val="auto"/>
                <w:sz w:val="18"/>
                <w:szCs w:val="18"/>
                <w:u w:val="none"/>
              </w:rPr>
            </w:pP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FCAA3">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②</w:t>
            </w:r>
            <w:r>
              <w:rPr>
                <w:rFonts w:hint="eastAsia" w:ascii="宋体" w:hAnsi="宋体" w:eastAsia="宋体" w:cs="宋体"/>
                <w:i w:val="0"/>
                <w:iCs w:val="0"/>
                <w:color w:val="auto"/>
                <w:kern w:val="0"/>
                <w:sz w:val="18"/>
                <w:szCs w:val="18"/>
                <w:u w:val="none"/>
                <w:lang w:val="en-US" w:eastAsia="zh-CN" w:bidi="ar"/>
              </w:rPr>
              <w:t>着装统一，佩戴统一服务标识，仪容仪表与行为规范，具备良好的服务精神、服务态度和服务礼仪着装统一，佩戴统一服务标识，仪容仪表与行为规范，具备良好的服务精神、服务态度和服务礼仪</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235FC">
            <w:pPr>
              <w:jc w:val="left"/>
              <w:rPr>
                <w:rFonts w:hint="eastAsia" w:ascii="宋体" w:hAnsi="宋体" w:eastAsia="宋体" w:cs="宋体"/>
                <w:i w:val="0"/>
                <w:iCs w:val="0"/>
                <w:color w:val="auto"/>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BFB8E">
            <w:pPr>
              <w:jc w:val="left"/>
              <w:rPr>
                <w:rFonts w:hint="eastAsia" w:ascii="宋体" w:hAnsi="宋体" w:eastAsia="宋体" w:cs="宋体"/>
                <w:i w:val="0"/>
                <w:iCs w:val="0"/>
                <w:color w:val="auto"/>
                <w:sz w:val="18"/>
                <w:szCs w:val="18"/>
                <w:u w:val="none"/>
              </w:rPr>
            </w:pPr>
          </w:p>
        </w:tc>
      </w:tr>
      <w:tr w14:paraId="7188F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972" w:type="dxa"/>
            <w:vMerge w:val="continue"/>
            <w:tcBorders>
              <w:left w:val="single" w:color="000000" w:sz="4" w:space="0"/>
              <w:right w:val="single" w:color="000000" w:sz="4" w:space="0"/>
            </w:tcBorders>
            <w:shd w:val="clear" w:color="auto" w:fill="auto"/>
            <w:vAlign w:val="center"/>
          </w:tcPr>
          <w:p w14:paraId="2C41C809">
            <w:pPr>
              <w:jc w:val="center"/>
              <w:rPr>
                <w:rFonts w:hint="eastAsia" w:ascii="宋体" w:hAnsi="宋体" w:eastAsia="宋体" w:cs="宋体"/>
                <w:i w:val="0"/>
                <w:iCs w:val="0"/>
                <w:color w:val="auto"/>
                <w:sz w:val="18"/>
                <w:szCs w:val="18"/>
                <w:u w:val="none"/>
              </w:rPr>
            </w:pPr>
          </w:p>
        </w:tc>
        <w:tc>
          <w:tcPr>
            <w:tcW w:w="975" w:type="dxa"/>
            <w:vMerge w:val="restart"/>
            <w:tcBorders>
              <w:top w:val="single" w:color="000000" w:sz="4" w:space="0"/>
              <w:left w:val="single" w:color="000000" w:sz="4" w:space="0"/>
              <w:right w:val="single" w:color="000000" w:sz="4" w:space="0"/>
            </w:tcBorders>
            <w:shd w:val="clear" w:color="auto" w:fill="auto"/>
            <w:vAlign w:val="center"/>
          </w:tcPr>
          <w:p w14:paraId="16FF482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服务设施与环境（40）</w:t>
            </w:r>
          </w:p>
        </w:tc>
        <w:tc>
          <w:tcPr>
            <w:tcW w:w="15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7D543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服务场所标志与标识</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044A4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1B7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①</w:t>
            </w:r>
            <w:r>
              <w:rPr>
                <w:rFonts w:hint="eastAsia" w:ascii="宋体" w:hAnsi="宋体" w:eastAsia="宋体" w:cs="宋体"/>
                <w:i w:val="0"/>
                <w:iCs w:val="0"/>
                <w:color w:val="auto"/>
                <w:kern w:val="0"/>
                <w:sz w:val="18"/>
                <w:szCs w:val="18"/>
                <w:u w:val="none"/>
                <w:lang w:val="en-US" w:eastAsia="zh-CN" w:bidi="ar"/>
              </w:rPr>
              <w:t>提供固定的办公场所，配置满足要求的办公设备，舒适、干净、整洁的服务环境，明确接待时间；</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19811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现场查看物业服务办公区域环境情况，现场查看物业管理区域标识设置情况</w:t>
            </w:r>
          </w:p>
        </w:tc>
        <w:tc>
          <w:tcPr>
            <w:tcW w:w="33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FF587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依据符合要求的程度得0～10分，每发现一处不符合扣1分，扣完为止</w:t>
            </w:r>
          </w:p>
        </w:tc>
      </w:tr>
      <w:tr w14:paraId="5F40F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972" w:type="dxa"/>
            <w:vMerge w:val="continue"/>
            <w:tcBorders>
              <w:left w:val="single" w:color="000000" w:sz="4" w:space="0"/>
              <w:right w:val="single" w:color="000000" w:sz="4" w:space="0"/>
            </w:tcBorders>
            <w:shd w:val="clear" w:color="auto" w:fill="auto"/>
            <w:vAlign w:val="center"/>
          </w:tcPr>
          <w:p w14:paraId="07C9D01B">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7C626EC4">
            <w:pPr>
              <w:jc w:val="center"/>
              <w:rPr>
                <w:rFonts w:hint="eastAsia" w:ascii="宋体" w:hAnsi="宋体" w:eastAsia="宋体" w:cs="宋体"/>
                <w:i w:val="0"/>
                <w:iCs w:val="0"/>
                <w:color w:val="auto"/>
                <w:sz w:val="18"/>
                <w:szCs w:val="18"/>
                <w:u w:val="none"/>
              </w:rPr>
            </w:pPr>
          </w:p>
        </w:tc>
        <w:tc>
          <w:tcPr>
            <w:tcW w:w="15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4DCF1">
            <w:pPr>
              <w:jc w:val="center"/>
              <w:rPr>
                <w:rFonts w:hint="eastAsia" w:ascii="宋体" w:hAnsi="宋体" w:eastAsia="宋体" w:cs="宋体"/>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73748">
            <w:pPr>
              <w:jc w:val="center"/>
              <w:rPr>
                <w:rFonts w:hint="eastAsia" w:ascii="宋体" w:hAnsi="宋体" w:eastAsia="宋体" w:cs="宋体"/>
                <w:i w:val="0"/>
                <w:iCs w:val="0"/>
                <w:color w:val="auto"/>
                <w:sz w:val="18"/>
                <w:szCs w:val="18"/>
                <w:u w:val="none"/>
              </w:rPr>
            </w:pP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436A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②应根据园区运营的需要识别、制作、分类和使用相应的标识，保持标识清楚完好，且标识设置符合相关国家、行业、地方标准，位置醒目、高度适宜，包括但不限于：提示标志、禁止标志、警告标志；消防安全标识；道路等引导标识；公共信息标识；设施设备标识等</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6BBDC">
            <w:pPr>
              <w:jc w:val="left"/>
              <w:rPr>
                <w:rFonts w:hint="eastAsia" w:ascii="宋体" w:hAnsi="宋体" w:eastAsia="宋体" w:cs="宋体"/>
                <w:i w:val="0"/>
                <w:iCs w:val="0"/>
                <w:color w:val="auto"/>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F203F">
            <w:pPr>
              <w:jc w:val="left"/>
              <w:rPr>
                <w:rFonts w:hint="eastAsia" w:ascii="宋体" w:hAnsi="宋体" w:eastAsia="宋体" w:cs="宋体"/>
                <w:i w:val="0"/>
                <w:iCs w:val="0"/>
                <w:color w:val="auto"/>
                <w:sz w:val="18"/>
                <w:szCs w:val="18"/>
                <w:u w:val="none"/>
              </w:rPr>
            </w:pPr>
          </w:p>
        </w:tc>
      </w:tr>
      <w:tr w14:paraId="27926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72" w:type="dxa"/>
            <w:vMerge w:val="continue"/>
            <w:tcBorders>
              <w:left w:val="single" w:color="000000" w:sz="4" w:space="0"/>
              <w:right w:val="single" w:color="000000" w:sz="4" w:space="0"/>
            </w:tcBorders>
            <w:shd w:val="clear" w:color="auto" w:fill="auto"/>
            <w:vAlign w:val="center"/>
          </w:tcPr>
          <w:p w14:paraId="64F08C93">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6FFDF5A1">
            <w:pPr>
              <w:jc w:val="center"/>
              <w:rPr>
                <w:rFonts w:hint="eastAsia" w:ascii="宋体" w:hAnsi="宋体" w:eastAsia="宋体" w:cs="宋体"/>
                <w:i w:val="0"/>
                <w:iCs w:val="0"/>
                <w:color w:val="auto"/>
                <w:sz w:val="18"/>
                <w:szCs w:val="18"/>
                <w:u w:val="none"/>
              </w:rPr>
            </w:pP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B2AAC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服务设施设备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486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EB00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配置满足服务需求的设施设备（如办公、安全、保洁、绿化、维修等），并保持工具物料管理规范、摆放整齐有序</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C6AA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查看设备配置情况</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A54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依据符合要求的程度得0～20分，每发现一处不符合扣2分，扣完为止</w:t>
            </w:r>
          </w:p>
        </w:tc>
      </w:tr>
      <w:tr w14:paraId="2CBC4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72" w:type="dxa"/>
            <w:vMerge w:val="continue"/>
            <w:tcBorders>
              <w:left w:val="single" w:color="000000" w:sz="4" w:space="0"/>
              <w:right w:val="single" w:color="000000" w:sz="4" w:space="0"/>
            </w:tcBorders>
            <w:shd w:val="clear" w:color="auto" w:fill="auto"/>
            <w:vAlign w:val="center"/>
          </w:tcPr>
          <w:p w14:paraId="1F689E86">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bottom w:val="single" w:color="000000" w:sz="4" w:space="0"/>
              <w:right w:val="single" w:color="000000" w:sz="4" w:space="0"/>
            </w:tcBorders>
            <w:shd w:val="clear" w:color="auto" w:fill="auto"/>
            <w:vAlign w:val="center"/>
          </w:tcPr>
          <w:p w14:paraId="56DE9746">
            <w:pPr>
              <w:jc w:val="center"/>
              <w:rPr>
                <w:rFonts w:hint="eastAsia" w:ascii="宋体" w:hAnsi="宋体" w:eastAsia="宋体" w:cs="宋体"/>
                <w:i w:val="0"/>
                <w:iCs w:val="0"/>
                <w:color w:val="auto"/>
                <w:sz w:val="18"/>
                <w:szCs w:val="18"/>
                <w:u w:val="none"/>
              </w:rPr>
            </w:pP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A82A5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数字化管理系统</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934F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647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提供方便客户和管理的数字化系统，包括访客系统、收费系统、能源管理、智能安防等</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6C33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查看数字化系统的配置及应用情况</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4C27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依据所导入应用系统的覆盖内容情况，每具备一项系统得2分，最高得10分</w:t>
            </w:r>
          </w:p>
        </w:tc>
      </w:tr>
      <w:tr w14:paraId="4E499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72" w:type="dxa"/>
            <w:vMerge w:val="continue"/>
            <w:tcBorders>
              <w:left w:val="single" w:color="000000" w:sz="4" w:space="0"/>
              <w:right w:val="single" w:color="000000" w:sz="4" w:space="0"/>
            </w:tcBorders>
            <w:shd w:val="clear" w:color="auto" w:fill="auto"/>
            <w:vAlign w:val="center"/>
          </w:tcPr>
          <w:p w14:paraId="4922E9F9">
            <w:pPr>
              <w:jc w:val="center"/>
              <w:rPr>
                <w:rFonts w:hint="eastAsia" w:ascii="宋体" w:hAnsi="宋体" w:eastAsia="宋体" w:cs="宋体"/>
                <w:i w:val="0"/>
                <w:iCs w:val="0"/>
                <w:color w:val="auto"/>
                <w:sz w:val="18"/>
                <w:szCs w:val="18"/>
                <w:u w:val="none"/>
              </w:rPr>
            </w:pPr>
          </w:p>
        </w:tc>
        <w:tc>
          <w:tcPr>
            <w:tcW w:w="975" w:type="dxa"/>
            <w:vMerge w:val="restart"/>
            <w:tcBorders>
              <w:top w:val="single" w:color="000000" w:sz="4" w:space="0"/>
              <w:left w:val="single" w:color="000000" w:sz="4" w:space="0"/>
              <w:right w:val="single" w:color="000000" w:sz="4" w:space="0"/>
            </w:tcBorders>
            <w:shd w:val="clear" w:color="auto" w:fill="auto"/>
            <w:vAlign w:val="center"/>
          </w:tcPr>
          <w:p w14:paraId="2C0CB72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专业供应商（40分）</w:t>
            </w: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AD9FE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专业供应商选聘</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6BF8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011A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物业服务企业应建立供方管理制度，包括供应商准入标准、合同管理、信息管理、绩效管理、质量管理、交货物流、风险管理、沟通交流、评价改进等内容</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F72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查看相关文件</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A9A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依据符合要求的程度得0～25分，每发现一处不符合扣2分，扣完为止</w:t>
            </w:r>
          </w:p>
        </w:tc>
      </w:tr>
      <w:tr w14:paraId="37B7A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72" w:type="dxa"/>
            <w:vMerge w:val="continue"/>
            <w:tcBorders>
              <w:left w:val="single" w:color="000000" w:sz="4" w:space="0"/>
              <w:bottom w:val="single" w:color="000000" w:sz="4" w:space="0"/>
              <w:right w:val="single" w:color="000000" w:sz="4" w:space="0"/>
            </w:tcBorders>
            <w:shd w:val="clear" w:color="auto" w:fill="auto"/>
            <w:vAlign w:val="center"/>
          </w:tcPr>
          <w:p w14:paraId="1A7A8E91">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bottom w:val="single" w:color="000000" w:sz="4" w:space="0"/>
              <w:right w:val="single" w:color="000000" w:sz="4" w:space="0"/>
            </w:tcBorders>
            <w:shd w:val="clear" w:color="auto" w:fill="auto"/>
            <w:vAlign w:val="center"/>
          </w:tcPr>
          <w:p w14:paraId="0EC2B8E7">
            <w:pPr>
              <w:jc w:val="center"/>
              <w:rPr>
                <w:rFonts w:hint="eastAsia" w:ascii="宋体" w:hAnsi="宋体" w:eastAsia="宋体" w:cs="宋体"/>
                <w:i w:val="0"/>
                <w:iCs w:val="0"/>
                <w:color w:val="auto"/>
                <w:sz w:val="18"/>
                <w:szCs w:val="18"/>
                <w:u w:val="none"/>
              </w:rPr>
            </w:pP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31E05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专业供应商评价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FB15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368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物业管理项目应根据供方管理制度，定期对供方服务的及时性、有效性、经济性等进行客观、量化评价</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ED5D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查看所有供应商合同（协议）的类别和内容，重点查看每类的评价记录</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556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有相关评价记录的，得0～15分；无相关评价记录的，得0分</w:t>
            </w:r>
          </w:p>
        </w:tc>
      </w:tr>
      <w:tr w14:paraId="29B26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972" w:type="dxa"/>
            <w:vMerge w:val="restart"/>
            <w:tcBorders>
              <w:top w:val="single" w:color="000000" w:sz="4" w:space="0"/>
              <w:left w:val="single" w:color="000000" w:sz="4" w:space="0"/>
              <w:right w:val="single" w:color="000000" w:sz="4" w:space="0"/>
            </w:tcBorders>
            <w:shd w:val="clear" w:color="auto" w:fill="auto"/>
            <w:vAlign w:val="center"/>
          </w:tcPr>
          <w:p w14:paraId="16DCAB1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服务资源（200分</w:t>
            </w:r>
          </w:p>
        </w:tc>
        <w:tc>
          <w:tcPr>
            <w:tcW w:w="975" w:type="dxa"/>
            <w:vMerge w:val="restart"/>
            <w:tcBorders>
              <w:top w:val="single" w:color="000000" w:sz="4" w:space="0"/>
              <w:left w:val="single" w:color="000000" w:sz="4" w:space="0"/>
              <w:right w:val="single" w:color="000000" w:sz="4" w:space="0"/>
            </w:tcBorders>
            <w:shd w:val="clear" w:color="auto" w:fill="auto"/>
            <w:vAlign w:val="center"/>
          </w:tcPr>
          <w:p w14:paraId="6378266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服务档案（40分）</w:t>
            </w:r>
          </w:p>
        </w:tc>
        <w:tc>
          <w:tcPr>
            <w:tcW w:w="15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CD529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档案内容</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F7E55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718C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物业管理项目应核查、保存好承接查验时建设单位移交的资料、技术类档案和管理类档案，包括：①竣工总平面图，单体建筑、结构、设备竣工图，配套设施、地下管网工程竣工图等竣工验收资料；</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39E7C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查阅文件</w:t>
            </w:r>
          </w:p>
        </w:tc>
        <w:tc>
          <w:tcPr>
            <w:tcW w:w="33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08F57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依据符合要求的程度得0～20分，每发现一处不符合扣2分，扣完为止</w:t>
            </w:r>
          </w:p>
        </w:tc>
      </w:tr>
      <w:tr w14:paraId="56703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72" w:type="dxa"/>
            <w:vMerge w:val="continue"/>
            <w:tcBorders>
              <w:left w:val="single" w:color="000000" w:sz="4" w:space="0"/>
              <w:right w:val="single" w:color="000000" w:sz="4" w:space="0"/>
            </w:tcBorders>
            <w:shd w:val="clear" w:color="auto" w:fill="auto"/>
            <w:vAlign w:val="center"/>
          </w:tcPr>
          <w:p w14:paraId="52C34E48">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3625AAE3">
            <w:pPr>
              <w:jc w:val="center"/>
              <w:rPr>
                <w:rFonts w:hint="eastAsia" w:ascii="宋体" w:hAnsi="宋体" w:eastAsia="宋体" w:cs="宋体"/>
                <w:i w:val="0"/>
                <w:iCs w:val="0"/>
                <w:color w:val="auto"/>
                <w:sz w:val="18"/>
                <w:szCs w:val="18"/>
                <w:u w:val="none"/>
              </w:rPr>
            </w:pPr>
          </w:p>
        </w:tc>
        <w:tc>
          <w:tcPr>
            <w:tcW w:w="15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A429C">
            <w:pPr>
              <w:jc w:val="center"/>
              <w:rPr>
                <w:rFonts w:hint="eastAsia" w:ascii="宋体" w:hAnsi="宋体" w:eastAsia="宋体" w:cs="宋体"/>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D3449">
            <w:pPr>
              <w:jc w:val="center"/>
              <w:rPr>
                <w:rFonts w:hint="eastAsia" w:ascii="宋体" w:hAnsi="宋体" w:eastAsia="宋体" w:cs="宋体"/>
                <w:i w:val="0"/>
                <w:iCs w:val="0"/>
                <w:color w:val="auto"/>
                <w:sz w:val="18"/>
                <w:szCs w:val="18"/>
                <w:u w:val="none"/>
              </w:rPr>
            </w:pP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3524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②共用设施设备清单及其安装、使用和维护保养等技术资料；</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0151E">
            <w:pPr>
              <w:jc w:val="left"/>
              <w:rPr>
                <w:rFonts w:hint="eastAsia" w:ascii="宋体" w:hAnsi="宋体" w:eastAsia="宋体" w:cs="宋体"/>
                <w:i w:val="0"/>
                <w:iCs w:val="0"/>
                <w:color w:val="auto"/>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566F6">
            <w:pPr>
              <w:jc w:val="left"/>
              <w:rPr>
                <w:rFonts w:hint="eastAsia" w:ascii="宋体" w:hAnsi="宋体" w:eastAsia="宋体" w:cs="宋体"/>
                <w:i w:val="0"/>
                <w:iCs w:val="0"/>
                <w:color w:val="auto"/>
                <w:sz w:val="18"/>
                <w:szCs w:val="18"/>
                <w:u w:val="none"/>
              </w:rPr>
            </w:pPr>
          </w:p>
        </w:tc>
      </w:tr>
      <w:tr w14:paraId="4B3F0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72" w:type="dxa"/>
            <w:vMerge w:val="continue"/>
            <w:tcBorders>
              <w:left w:val="single" w:color="000000" w:sz="4" w:space="0"/>
              <w:right w:val="single" w:color="000000" w:sz="4" w:space="0"/>
            </w:tcBorders>
            <w:shd w:val="clear" w:color="auto" w:fill="auto"/>
            <w:vAlign w:val="center"/>
          </w:tcPr>
          <w:p w14:paraId="64629244">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2559E947">
            <w:pPr>
              <w:jc w:val="center"/>
              <w:rPr>
                <w:rFonts w:hint="eastAsia" w:ascii="宋体" w:hAnsi="宋体" w:eastAsia="宋体" w:cs="宋体"/>
                <w:i w:val="0"/>
                <w:iCs w:val="0"/>
                <w:color w:val="auto"/>
                <w:sz w:val="18"/>
                <w:szCs w:val="18"/>
                <w:u w:val="none"/>
              </w:rPr>
            </w:pPr>
          </w:p>
        </w:tc>
        <w:tc>
          <w:tcPr>
            <w:tcW w:w="15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3E0B1">
            <w:pPr>
              <w:jc w:val="center"/>
              <w:rPr>
                <w:rFonts w:hint="eastAsia" w:ascii="宋体" w:hAnsi="宋体" w:eastAsia="宋体" w:cs="宋体"/>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77F26">
            <w:pPr>
              <w:jc w:val="center"/>
              <w:rPr>
                <w:rFonts w:hint="eastAsia" w:ascii="宋体" w:hAnsi="宋体" w:eastAsia="宋体" w:cs="宋体"/>
                <w:i w:val="0"/>
                <w:iCs w:val="0"/>
                <w:color w:val="auto"/>
                <w:sz w:val="18"/>
                <w:szCs w:val="18"/>
                <w:u w:val="none"/>
              </w:rPr>
            </w:pP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0E8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③供水、供电、供气、供热、通信、有线电视等准许使用文件；</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C9E61">
            <w:pPr>
              <w:jc w:val="left"/>
              <w:rPr>
                <w:rFonts w:hint="eastAsia" w:ascii="宋体" w:hAnsi="宋体" w:eastAsia="宋体" w:cs="宋体"/>
                <w:i w:val="0"/>
                <w:iCs w:val="0"/>
                <w:color w:val="auto"/>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B875D">
            <w:pPr>
              <w:jc w:val="left"/>
              <w:rPr>
                <w:rFonts w:hint="eastAsia" w:ascii="宋体" w:hAnsi="宋体" w:eastAsia="宋体" w:cs="宋体"/>
                <w:i w:val="0"/>
                <w:iCs w:val="0"/>
                <w:color w:val="auto"/>
                <w:sz w:val="18"/>
                <w:szCs w:val="18"/>
                <w:u w:val="none"/>
              </w:rPr>
            </w:pPr>
          </w:p>
        </w:tc>
      </w:tr>
      <w:tr w14:paraId="75C27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2" w:type="dxa"/>
            <w:vMerge w:val="continue"/>
            <w:tcBorders>
              <w:left w:val="single" w:color="000000" w:sz="4" w:space="0"/>
              <w:right w:val="single" w:color="000000" w:sz="4" w:space="0"/>
            </w:tcBorders>
            <w:shd w:val="clear" w:color="auto" w:fill="auto"/>
            <w:vAlign w:val="center"/>
          </w:tcPr>
          <w:p w14:paraId="6AA91830">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3788BB93">
            <w:pPr>
              <w:jc w:val="center"/>
              <w:rPr>
                <w:rFonts w:hint="eastAsia" w:ascii="宋体" w:hAnsi="宋体" w:eastAsia="宋体" w:cs="宋体"/>
                <w:i w:val="0"/>
                <w:iCs w:val="0"/>
                <w:color w:val="auto"/>
                <w:sz w:val="18"/>
                <w:szCs w:val="18"/>
                <w:u w:val="none"/>
              </w:rPr>
            </w:pPr>
          </w:p>
        </w:tc>
        <w:tc>
          <w:tcPr>
            <w:tcW w:w="15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7EFBD">
            <w:pPr>
              <w:jc w:val="center"/>
              <w:rPr>
                <w:rFonts w:hint="eastAsia" w:ascii="宋体" w:hAnsi="宋体" w:eastAsia="宋体" w:cs="宋体"/>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F02C0">
            <w:pPr>
              <w:jc w:val="center"/>
              <w:rPr>
                <w:rFonts w:hint="eastAsia" w:ascii="宋体" w:hAnsi="宋体" w:eastAsia="宋体" w:cs="宋体"/>
                <w:i w:val="0"/>
                <w:iCs w:val="0"/>
                <w:color w:val="auto"/>
                <w:sz w:val="18"/>
                <w:szCs w:val="18"/>
                <w:u w:val="none"/>
              </w:rPr>
            </w:pP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635C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④物业质量保修文件和物业使用说明文件；</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629DE">
            <w:pPr>
              <w:jc w:val="left"/>
              <w:rPr>
                <w:rFonts w:hint="eastAsia" w:ascii="宋体" w:hAnsi="宋体" w:eastAsia="宋体" w:cs="宋体"/>
                <w:i w:val="0"/>
                <w:iCs w:val="0"/>
                <w:color w:val="auto"/>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B8FDF">
            <w:pPr>
              <w:jc w:val="left"/>
              <w:rPr>
                <w:rFonts w:hint="eastAsia" w:ascii="宋体" w:hAnsi="宋体" w:eastAsia="宋体" w:cs="宋体"/>
                <w:i w:val="0"/>
                <w:iCs w:val="0"/>
                <w:color w:val="auto"/>
                <w:sz w:val="18"/>
                <w:szCs w:val="18"/>
                <w:u w:val="none"/>
              </w:rPr>
            </w:pPr>
          </w:p>
        </w:tc>
      </w:tr>
      <w:tr w14:paraId="04040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72" w:type="dxa"/>
            <w:vMerge w:val="continue"/>
            <w:tcBorders>
              <w:left w:val="single" w:color="000000" w:sz="4" w:space="0"/>
              <w:right w:val="single" w:color="000000" w:sz="4" w:space="0"/>
            </w:tcBorders>
            <w:shd w:val="clear" w:color="auto" w:fill="auto"/>
            <w:vAlign w:val="center"/>
          </w:tcPr>
          <w:p w14:paraId="207870F3">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4A7E04BD">
            <w:pPr>
              <w:jc w:val="center"/>
              <w:rPr>
                <w:rFonts w:hint="eastAsia" w:ascii="宋体" w:hAnsi="宋体" w:eastAsia="宋体" w:cs="宋体"/>
                <w:i w:val="0"/>
                <w:iCs w:val="0"/>
                <w:color w:val="auto"/>
                <w:sz w:val="18"/>
                <w:szCs w:val="18"/>
                <w:u w:val="none"/>
              </w:rPr>
            </w:pPr>
          </w:p>
        </w:tc>
        <w:tc>
          <w:tcPr>
            <w:tcW w:w="15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28057">
            <w:pPr>
              <w:jc w:val="center"/>
              <w:rPr>
                <w:rFonts w:hint="eastAsia" w:ascii="宋体" w:hAnsi="宋体" w:eastAsia="宋体" w:cs="宋体"/>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AE488">
            <w:pPr>
              <w:jc w:val="center"/>
              <w:rPr>
                <w:rFonts w:hint="eastAsia" w:ascii="宋体" w:hAnsi="宋体" w:eastAsia="宋体" w:cs="宋体"/>
                <w:i w:val="0"/>
                <w:iCs w:val="0"/>
                <w:color w:val="auto"/>
                <w:sz w:val="18"/>
                <w:szCs w:val="18"/>
                <w:u w:val="none"/>
              </w:rPr>
            </w:pP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605B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⑤物业使用、维护和管理的相关技术资料（如产权资料、客户资料、保修资料等）；</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58B76">
            <w:pPr>
              <w:jc w:val="left"/>
              <w:rPr>
                <w:rFonts w:hint="eastAsia" w:ascii="宋体" w:hAnsi="宋体" w:eastAsia="宋体" w:cs="宋体"/>
                <w:i w:val="0"/>
                <w:iCs w:val="0"/>
                <w:color w:val="auto"/>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1680C">
            <w:pPr>
              <w:jc w:val="left"/>
              <w:rPr>
                <w:rFonts w:hint="eastAsia" w:ascii="宋体" w:hAnsi="宋体" w:eastAsia="宋体" w:cs="宋体"/>
                <w:i w:val="0"/>
                <w:iCs w:val="0"/>
                <w:color w:val="auto"/>
                <w:sz w:val="18"/>
                <w:szCs w:val="18"/>
                <w:u w:val="none"/>
              </w:rPr>
            </w:pPr>
          </w:p>
        </w:tc>
      </w:tr>
      <w:tr w14:paraId="777E1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2" w:type="dxa"/>
            <w:vMerge w:val="continue"/>
            <w:tcBorders>
              <w:left w:val="single" w:color="000000" w:sz="4" w:space="0"/>
              <w:right w:val="single" w:color="000000" w:sz="4" w:space="0"/>
            </w:tcBorders>
            <w:shd w:val="clear" w:color="auto" w:fill="auto"/>
            <w:vAlign w:val="center"/>
          </w:tcPr>
          <w:p w14:paraId="5EE8B41F">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1AA46287">
            <w:pPr>
              <w:jc w:val="center"/>
              <w:rPr>
                <w:rFonts w:hint="eastAsia" w:ascii="宋体" w:hAnsi="宋体" w:eastAsia="宋体" w:cs="宋体"/>
                <w:i w:val="0"/>
                <w:iCs w:val="0"/>
                <w:color w:val="auto"/>
                <w:sz w:val="18"/>
                <w:szCs w:val="18"/>
                <w:u w:val="none"/>
              </w:rPr>
            </w:pPr>
          </w:p>
        </w:tc>
        <w:tc>
          <w:tcPr>
            <w:tcW w:w="15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CD06A">
            <w:pPr>
              <w:jc w:val="center"/>
              <w:rPr>
                <w:rFonts w:hint="eastAsia" w:ascii="宋体" w:hAnsi="宋体" w:eastAsia="宋体" w:cs="宋体"/>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1F4BB">
            <w:pPr>
              <w:jc w:val="center"/>
              <w:rPr>
                <w:rFonts w:hint="eastAsia" w:ascii="宋体" w:hAnsi="宋体" w:eastAsia="宋体" w:cs="宋体"/>
                <w:i w:val="0"/>
                <w:iCs w:val="0"/>
                <w:color w:val="auto"/>
                <w:sz w:val="18"/>
                <w:szCs w:val="18"/>
                <w:u w:val="none"/>
              </w:rPr>
            </w:pP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62F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⑥服务人员档案；</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4D17D">
            <w:pPr>
              <w:jc w:val="left"/>
              <w:rPr>
                <w:rFonts w:hint="eastAsia" w:ascii="宋体" w:hAnsi="宋体" w:eastAsia="宋体" w:cs="宋体"/>
                <w:i w:val="0"/>
                <w:iCs w:val="0"/>
                <w:color w:val="auto"/>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4D7FB">
            <w:pPr>
              <w:jc w:val="left"/>
              <w:rPr>
                <w:rFonts w:hint="eastAsia" w:ascii="宋体" w:hAnsi="宋体" w:eastAsia="宋体" w:cs="宋体"/>
                <w:i w:val="0"/>
                <w:iCs w:val="0"/>
                <w:color w:val="auto"/>
                <w:sz w:val="18"/>
                <w:szCs w:val="18"/>
                <w:u w:val="none"/>
              </w:rPr>
            </w:pPr>
          </w:p>
        </w:tc>
      </w:tr>
      <w:tr w14:paraId="40B54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2" w:type="dxa"/>
            <w:vMerge w:val="continue"/>
            <w:tcBorders>
              <w:left w:val="single" w:color="000000" w:sz="4" w:space="0"/>
              <w:right w:val="single" w:color="000000" w:sz="4" w:space="0"/>
            </w:tcBorders>
            <w:shd w:val="clear" w:color="auto" w:fill="auto"/>
            <w:vAlign w:val="center"/>
          </w:tcPr>
          <w:p w14:paraId="71E33863">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424069C1">
            <w:pPr>
              <w:jc w:val="center"/>
              <w:rPr>
                <w:rFonts w:hint="eastAsia" w:ascii="宋体" w:hAnsi="宋体" w:eastAsia="宋体" w:cs="宋体"/>
                <w:i w:val="0"/>
                <w:iCs w:val="0"/>
                <w:color w:val="auto"/>
                <w:sz w:val="18"/>
                <w:szCs w:val="18"/>
                <w:u w:val="none"/>
              </w:rPr>
            </w:pPr>
          </w:p>
        </w:tc>
        <w:tc>
          <w:tcPr>
            <w:tcW w:w="15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EEA6C">
            <w:pPr>
              <w:jc w:val="center"/>
              <w:rPr>
                <w:rFonts w:hint="eastAsia" w:ascii="宋体" w:hAnsi="宋体" w:eastAsia="宋体" w:cs="宋体"/>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A86CD">
            <w:pPr>
              <w:jc w:val="center"/>
              <w:rPr>
                <w:rFonts w:hint="eastAsia" w:ascii="宋体" w:hAnsi="宋体" w:eastAsia="宋体" w:cs="宋体"/>
                <w:i w:val="0"/>
                <w:iCs w:val="0"/>
                <w:color w:val="auto"/>
                <w:sz w:val="18"/>
                <w:szCs w:val="18"/>
                <w:u w:val="none"/>
              </w:rPr>
            </w:pP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5F2C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⑦管理和服务过程形成的文件记录</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41520">
            <w:pPr>
              <w:jc w:val="left"/>
              <w:rPr>
                <w:rFonts w:hint="eastAsia" w:ascii="宋体" w:hAnsi="宋体" w:eastAsia="宋体" w:cs="宋体"/>
                <w:i w:val="0"/>
                <w:iCs w:val="0"/>
                <w:color w:val="auto"/>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862D4">
            <w:pPr>
              <w:jc w:val="left"/>
              <w:rPr>
                <w:rFonts w:hint="eastAsia" w:ascii="宋体" w:hAnsi="宋体" w:eastAsia="宋体" w:cs="宋体"/>
                <w:i w:val="0"/>
                <w:iCs w:val="0"/>
                <w:color w:val="auto"/>
                <w:sz w:val="18"/>
                <w:szCs w:val="18"/>
                <w:u w:val="none"/>
              </w:rPr>
            </w:pPr>
          </w:p>
        </w:tc>
      </w:tr>
      <w:tr w14:paraId="6FE9A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72" w:type="dxa"/>
            <w:vMerge w:val="continue"/>
            <w:tcBorders>
              <w:left w:val="single" w:color="000000" w:sz="4" w:space="0"/>
              <w:right w:val="single" w:color="000000" w:sz="4" w:space="0"/>
            </w:tcBorders>
            <w:shd w:val="clear" w:color="auto" w:fill="auto"/>
            <w:vAlign w:val="center"/>
          </w:tcPr>
          <w:p w14:paraId="25D8370F">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637C6F04">
            <w:pPr>
              <w:jc w:val="center"/>
              <w:rPr>
                <w:rFonts w:hint="eastAsia" w:ascii="宋体" w:hAnsi="宋体" w:eastAsia="宋体" w:cs="宋体"/>
                <w:i w:val="0"/>
                <w:iCs w:val="0"/>
                <w:color w:val="auto"/>
                <w:sz w:val="18"/>
                <w:szCs w:val="18"/>
                <w:u w:val="none"/>
              </w:rPr>
            </w:pPr>
          </w:p>
        </w:tc>
        <w:tc>
          <w:tcPr>
            <w:tcW w:w="15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B2C9B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档案管理</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6CDF2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65C9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①档案应规范管理、资料齐全、分类成册、查阅方便，应加强收集、检索、查阅、使用、销毁和保密等档案管理；</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111B7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查阅文件</w:t>
            </w:r>
          </w:p>
        </w:tc>
        <w:tc>
          <w:tcPr>
            <w:tcW w:w="33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4B2E5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依据符合要求的程度得0～20分，每发现一处不符合扣2分，扣完为止</w:t>
            </w:r>
          </w:p>
        </w:tc>
      </w:tr>
      <w:tr w14:paraId="31C47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72" w:type="dxa"/>
            <w:vMerge w:val="continue"/>
            <w:tcBorders>
              <w:left w:val="single" w:color="000000" w:sz="4" w:space="0"/>
              <w:right w:val="single" w:color="000000" w:sz="4" w:space="0"/>
            </w:tcBorders>
            <w:shd w:val="clear" w:color="auto" w:fill="auto"/>
            <w:vAlign w:val="center"/>
          </w:tcPr>
          <w:p w14:paraId="597D7927">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2A956707">
            <w:pPr>
              <w:jc w:val="center"/>
              <w:rPr>
                <w:rFonts w:hint="eastAsia" w:ascii="宋体" w:hAnsi="宋体" w:eastAsia="宋体" w:cs="宋体"/>
                <w:i w:val="0"/>
                <w:iCs w:val="0"/>
                <w:color w:val="auto"/>
                <w:sz w:val="18"/>
                <w:szCs w:val="18"/>
                <w:u w:val="none"/>
              </w:rPr>
            </w:pPr>
          </w:p>
        </w:tc>
        <w:tc>
          <w:tcPr>
            <w:tcW w:w="15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54E42">
            <w:pPr>
              <w:jc w:val="center"/>
              <w:rPr>
                <w:rFonts w:hint="eastAsia" w:ascii="宋体" w:hAnsi="宋体" w:eastAsia="宋体" w:cs="宋体"/>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455A4">
            <w:pPr>
              <w:jc w:val="center"/>
              <w:rPr>
                <w:rFonts w:hint="eastAsia" w:ascii="宋体" w:hAnsi="宋体" w:eastAsia="宋体" w:cs="宋体"/>
                <w:i w:val="0"/>
                <w:iCs w:val="0"/>
                <w:color w:val="auto"/>
                <w:sz w:val="18"/>
                <w:szCs w:val="18"/>
                <w:u w:val="none"/>
              </w:rPr>
            </w:pP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3F6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②技术类档案应根据物业服务合同约定进行管理及查阅，管理类档案应确保内容完整、准确；</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7DE16">
            <w:pPr>
              <w:jc w:val="left"/>
              <w:rPr>
                <w:rFonts w:hint="eastAsia" w:ascii="宋体" w:hAnsi="宋体" w:eastAsia="宋体" w:cs="宋体"/>
                <w:i w:val="0"/>
                <w:iCs w:val="0"/>
                <w:color w:val="auto"/>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46335">
            <w:pPr>
              <w:jc w:val="left"/>
              <w:rPr>
                <w:rFonts w:hint="eastAsia" w:ascii="宋体" w:hAnsi="宋体" w:eastAsia="宋体" w:cs="宋体"/>
                <w:i w:val="0"/>
                <w:iCs w:val="0"/>
                <w:color w:val="auto"/>
                <w:sz w:val="18"/>
                <w:szCs w:val="18"/>
                <w:u w:val="none"/>
              </w:rPr>
            </w:pPr>
          </w:p>
        </w:tc>
      </w:tr>
      <w:tr w14:paraId="6BE7C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972" w:type="dxa"/>
            <w:vMerge w:val="continue"/>
            <w:tcBorders>
              <w:left w:val="single" w:color="000000" w:sz="4" w:space="0"/>
              <w:right w:val="single" w:color="000000" w:sz="4" w:space="0"/>
            </w:tcBorders>
            <w:shd w:val="clear" w:color="auto" w:fill="auto"/>
            <w:vAlign w:val="center"/>
          </w:tcPr>
          <w:p w14:paraId="071D2B82">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0E9A270C">
            <w:pPr>
              <w:jc w:val="center"/>
              <w:rPr>
                <w:rFonts w:hint="eastAsia" w:ascii="宋体" w:hAnsi="宋体" w:eastAsia="宋体" w:cs="宋体"/>
                <w:i w:val="0"/>
                <w:iCs w:val="0"/>
                <w:color w:val="auto"/>
                <w:sz w:val="18"/>
                <w:szCs w:val="18"/>
                <w:u w:val="none"/>
              </w:rPr>
            </w:pPr>
          </w:p>
        </w:tc>
        <w:tc>
          <w:tcPr>
            <w:tcW w:w="15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513E9">
            <w:pPr>
              <w:jc w:val="center"/>
              <w:rPr>
                <w:rFonts w:hint="eastAsia" w:ascii="宋体" w:hAnsi="宋体" w:eastAsia="宋体" w:cs="宋体"/>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C7981">
            <w:pPr>
              <w:jc w:val="center"/>
              <w:rPr>
                <w:rFonts w:hint="eastAsia" w:ascii="宋体" w:hAnsi="宋体" w:eastAsia="宋体" w:cs="宋体"/>
                <w:i w:val="0"/>
                <w:iCs w:val="0"/>
                <w:color w:val="auto"/>
                <w:sz w:val="18"/>
                <w:szCs w:val="18"/>
                <w:u w:val="none"/>
              </w:rPr>
            </w:pP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66A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③应划定专门的区域用于档案保存档案储存环境应保持干燥、通风、清洁，并确保储存地点符合防火、防盗、防光、防潮、防虫、防尘等要求；</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59338">
            <w:pPr>
              <w:jc w:val="left"/>
              <w:rPr>
                <w:rFonts w:hint="eastAsia" w:ascii="宋体" w:hAnsi="宋体" w:eastAsia="宋体" w:cs="宋体"/>
                <w:i w:val="0"/>
                <w:iCs w:val="0"/>
                <w:color w:val="auto"/>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8BBD2">
            <w:pPr>
              <w:jc w:val="left"/>
              <w:rPr>
                <w:rFonts w:hint="eastAsia" w:ascii="宋体" w:hAnsi="宋体" w:eastAsia="宋体" w:cs="宋体"/>
                <w:i w:val="0"/>
                <w:iCs w:val="0"/>
                <w:color w:val="auto"/>
                <w:sz w:val="18"/>
                <w:szCs w:val="18"/>
                <w:u w:val="none"/>
              </w:rPr>
            </w:pPr>
          </w:p>
        </w:tc>
      </w:tr>
      <w:tr w14:paraId="0E009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2" w:type="dxa"/>
            <w:vMerge w:val="continue"/>
            <w:tcBorders>
              <w:left w:val="single" w:color="000000" w:sz="4" w:space="0"/>
              <w:bottom w:val="single" w:color="000000" w:sz="4" w:space="0"/>
              <w:right w:val="single" w:color="000000" w:sz="4" w:space="0"/>
            </w:tcBorders>
            <w:shd w:val="clear" w:color="auto" w:fill="auto"/>
            <w:vAlign w:val="center"/>
          </w:tcPr>
          <w:p w14:paraId="18D04F0C">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bottom w:val="single" w:color="000000" w:sz="4" w:space="0"/>
              <w:right w:val="single" w:color="000000" w:sz="4" w:space="0"/>
            </w:tcBorders>
            <w:shd w:val="clear" w:color="auto" w:fill="auto"/>
            <w:vAlign w:val="center"/>
          </w:tcPr>
          <w:p w14:paraId="3A6ECB31">
            <w:pPr>
              <w:jc w:val="center"/>
              <w:rPr>
                <w:rFonts w:hint="eastAsia" w:ascii="宋体" w:hAnsi="宋体" w:eastAsia="宋体" w:cs="宋体"/>
                <w:i w:val="0"/>
                <w:iCs w:val="0"/>
                <w:color w:val="auto"/>
                <w:sz w:val="18"/>
                <w:szCs w:val="18"/>
                <w:u w:val="none"/>
              </w:rPr>
            </w:pPr>
          </w:p>
        </w:tc>
        <w:tc>
          <w:tcPr>
            <w:tcW w:w="15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703E0">
            <w:pPr>
              <w:jc w:val="center"/>
              <w:rPr>
                <w:rFonts w:hint="eastAsia" w:ascii="宋体" w:hAnsi="宋体" w:eastAsia="宋体" w:cs="宋体"/>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D25CB">
            <w:pPr>
              <w:jc w:val="center"/>
              <w:rPr>
                <w:rFonts w:hint="eastAsia" w:ascii="宋体" w:hAnsi="宋体" w:eastAsia="宋体" w:cs="宋体"/>
                <w:i w:val="0"/>
                <w:iCs w:val="0"/>
                <w:color w:val="auto"/>
                <w:sz w:val="18"/>
                <w:szCs w:val="18"/>
                <w:u w:val="none"/>
              </w:rPr>
            </w:pP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4DB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④应建立电子档案，并定期备份</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50B84">
            <w:pPr>
              <w:jc w:val="left"/>
              <w:rPr>
                <w:rFonts w:hint="eastAsia" w:ascii="宋体" w:hAnsi="宋体" w:eastAsia="宋体" w:cs="宋体"/>
                <w:i w:val="0"/>
                <w:iCs w:val="0"/>
                <w:color w:val="auto"/>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652B9">
            <w:pPr>
              <w:jc w:val="left"/>
              <w:rPr>
                <w:rFonts w:hint="eastAsia" w:ascii="宋体" w:hAnsi="宋体" w:eastAsia="宋体" w:cs="宋体"/>
                <w:i w:val="0"/>
                <w:iCs w:val="0"/>
                <w:color w:val="auto"/>
                <w:sz w:val="18"/>
                <w:szCs w:val="18"/>
                <w:u w:val="none"/>
              </w:rPr>
            </w:pPr>
          </w:p>
        </w:tc>
      </w:tr>
      <w:tr w14:paraId="61FB1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972" w:type="dxa"/>
            <w:vMerge w:val="restart"/>
            <w:tcBorders>
              <w:top w:val="single" w:color="000000" w:sz="4" w:space="0"/>
              <w:left w:val="single" w:color="000000" w:sz="4" w:space="0"/>
              <w:right w:val="single" w:color="000000" w:sz="4" w:space="0"/>
            </w:tcBorders>
            <w:shd w:val="clear" w:color="auto" w:fill="auto"/>
            <w:vAlign w:val="center"/>
          </w:tcPr>
          <w:p w14:paraId="613558C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服务过程（600分</w:t>
            </w:r>
            <w:r>
              <w:rPr>
                <w:rFonts w:hint="eastAsia" w:ascii="宋体" w:hAnsi="宋体" w:cs="宋体"/>
                <w:i w:val="0"/>
                <w:iCs w:val="0"/>
                <w:color w:val="auto"/>
                <w:kern w:val="0"/>
                <w:sz w:val="18"/>
                <w:szCs w:val="18"/>
                <w:u w:val="none"/>
                <w:lang w:val="en-US" w:eastAsia="zh-CN" w:bidi="ar"/>
              </w:rPr>
              <w:t>，</w:t>
            </w:r>
            <w:r>
              <w:rPr>
                <w:rFonts w:hint="eastAsia" w:ascii="宋体" w:hAnsi="宋体" w:eastAsia="宋体" w:cs="宋体"/>
                <w:i w:val="0"/>
                <w:iCs w:val="0"/>
                <w:color w:val="auto"/>
                <w:kern w:val="0"/>
                <w:sz w:val="18"/>
                <w:szCs w:val="18"/>
                <w:u w:val="none"/>
                <w:lang w:val="en-US" w:eastAsia="zh-CN" w:bidi="ar"/>
              </w:rPr>
              <w:t>不含延伸服务10分））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503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服务合同（10分）</w:t>
            </w: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AF5DD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合规管理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2077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5209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物业服务企业签订（前期）物业服务合同，明确权利义务关系合同确保在有效期内，无违法、违规条款</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E0F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查阅合同（原件或复印件），重点验证合同的有效期、真实性，验证建筑面积、服务内容是否符合参评规定</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1A11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不能提供合同或不在有效期内且不符合自动延期的，建筑面积、服务内容不符合参评规定的，终止评价。</w:t>
            </w:r>
          </w:p>
        </w:tc>
      </w:tr>
      <w:tr w14:paraId="109B5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72" w:type="dxa"/>
            <w:vMerge w:val="continue"/>
            <w:tcBorders>
              <w:left w:val="single" w:color="000000" w:sz="4" w:space="0"/>
              <w:bottom w:val="single" w:color="000000" w:sz="4" w:space="0"/>
              <w:right w:val="single" w:color="000000" w:sz="4" w:space="0"/>
            </w:tcBorders>
            <w:shd w:val="clear" w:color="auto" w:fill="auto"/>
            <w:vAlign w:val="center"/>
          </w:tcPr>
          <w:p w14:paraId="152F9E5B">
            <w:pPr>
              <w:jc w:val="center"/>
              <w:rPr>
                <w:rFonts w:hint="eastAsia" w:ascii="宋体" w:hAnsi="宋体" w:eastAsia="宋体" w:cs="宋体"/>
                <w:i w:val="0"/>
                <w:iCs w:val="0"/>
                <w:color w:val="auto"/>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2D3B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服务需求（8分）</w:t>
            </w: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6411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合同需求识别</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C44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117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基于物业服务合同约定内容，对其中的客户需求进行完整识别和分析，整理形成合同需求清单</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F1B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查阅文件</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1C9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没有合同需求清单得0分</w:t>
            </w:r>
          </w:p>
        </w:tc>
      </w:tr>
      <w:tr w14:paraId="64800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72" w:type="dxa"/>
            <w:vMerge w:val="restart"/>
            <w:tcBorders>
              <w:top w:val="single" w:color="000000" w:sz="4" w:space="0"/>
              <w:left w:val="single" w:color="000000" w:sz="4" w:space="0"/>
              <w:right w:val="single" w:color="000000" w:sz="4" w:space="0"/>
            </w:tcBorders>
            <w:shd w:val="clear" w:color="auto" w:fill="auto"/>
            <w:vAlign w:val="center"/>
          </w:tcPr>
          <w:p w14:paraId="5E6D89FB">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服务过程（600分，不含延伸服务10分）</w:t>
            </w:r>
          </w:p>
        </w:tc>
        <w:tc>
          <w:tcPr>
            <w:tcW w:w="975" w:type="dxa"/>
            <w:vMerge w:val="restart"/>
            <w:tcBorders>
              <w:top w:val="single" w:color="000000" w:sz="4" w:space="0"/>
              <w:left w:val="single" w:color="000000" w:sz="4" w:space="0"/>
              <w:right w:val="single" w:color="000000" w:sz="4" w:space="0"/>
            </w:tcBorders>
            <w:shd w:val="clear" w:color="auto" w:fill="auto"/>
            <w:vAlign w:val="center"/>
          </w:tcPr>
          <w:p w14:paraId="49E5A53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服务信息及沟通（10分）</w:t>
            </w: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1B691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期望需求识别</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33E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175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结合客户拜访、沟通及管理过程中的合理推定，分析园区不同的客户类型的需求内容，针对每一类型客户需求形成相应的清单</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2B5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查阅文件</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4ECF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没有响应需求识别清单得0分</w:t>
            </w:r>
          </w:p>
        </w:tc>
      </w:tr>
      <w:tr w14:paraId="00F2A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972" w:type="dxa"/>
            <w:vMerge w:val="continue"/>
            <w:tcBorders>
              <w:left w:val="single" w:color="000000" w:sz="4" w:space="0"/>
              <w:right w:val="single" w:color="000000" w:sz="4" w:space="0"/>
            </w:tcBorders>
            <w:shd w:val="clear" w:color="auto" w:fill="auto"/>
            <w:noWrap/>
            <w:vAlign w:val="center"/>
          </w:tcPr>
          <w:p w14:paraId="348C5F7C">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698957E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p>
        </w:tc>
        <w:tc>
          <w:tcPr>
            <w:tcW w:w="15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47398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信息公示管理</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E74DC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36AB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物业服务企业应在物业管理项目物业服务区域显著位置，设置固定的公告栏，通知、公告张贴规范，无乱张贴现象信息公示如实、及时并更新信息包括：</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A33FA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查看现场公示情况，重点查看物业服务中心、电梯厅及电梯轿厢、宣传栏等位置有无乱贴现象，通知、公告张贴是否规范</w:t>
            </w:r>
          </w:p>
        </w:tc>
        <w:tc>
          <w:tcPr>
            <w:tcW w:w="33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838AB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已公示的，依据符合要求的程度得0～5分，每缺少一项公示内容或不符合扣1分，扣完为止；无公示的，得0分</w:t>
            </w:r>
          </w:p>
        </w:tc>
      </w:tr>
      <w:tr w14:paraId="2F9A1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72" w:type="dxa"/>
            <w:vMerge w:val="continue"/>
            <w:tcBorders>
              <w:left w:val="single" w:color="000000" w:sz="4" w:space="0"/>
              <w:right w:val="single" w:color="000000" w:sz="4" w:space="0"/>
            </w:tcBorders>
            <w:shd w:val="clear" w:color="auto" w:fill="auto"/>
            <w:noWrap/>
            <w:vAlign w:val="center"/>
          </w:tcPr>
          <w:p w14:paraId="34F117F4">
            <w:pPr>
              <w:jc w:val="both"/>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7B04299A">
            <w:pPr>
              <w:jc w:val="center"/>
              <w:rPr>
                <w:rFonts w:hint="eastAsia" w:ascii="宋体" w:hAnsi="宋体" w:eastAsia="宋体" w:cs="宋体"/>
                <w:i w:val="0"/>
                <w:iCs w:val="0"/>
                <w:color w:val="auto"/>
                <w:sz w:val="18"/>
                <w:szCs w:val="18"/>
                <w:u w:val="none"/>
              </w:rPr>
            </w:pPr>
          </w:p>
        </w:tc>
        <w:tc>
          <w:tcPr>
            <w:tcW w:w="15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0A5DC">
            <w:pPr>
              <w:jc w:val="center"/>
              <w:rPr>
                <w:rFonts w:hint="eastAsia" w:ascii="宋体" w:hAnsi="宋体" w:eastAsia="宋体" w:cs="宋体"/>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6A736">
            <w:pPr>
              <w:jc w:val="center"/>
              <w:rPr>
                <w:rFonts w:hint="eastAsia" w:ascii="宋体" w:hAnsi="宋体" w:eastAsia="宋体" w:cs="宋体"/>
                <w:i w:val="0"/>
                <w:iCs w:val="0"/>
                <w:color w:val="auto"/>
                <w:sz w:val="18"/>
                <w:szCs w:val="18"/>
                <w:u w:val="none"/>
              </w:rPr>
            </w:pP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9E90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①物业服务企业营业执照、信用等级、项目负责人基本情况、联系方式以及服务投诉电话；</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310CC">
            <w:pPr>
              <w:jc w:val="left"/>
              <w:rPr>
                <w:rFonts w:hint="eastAsia" w:ascii="宋体" w:hAnsi="宋体" w:eastAsia="宋体" w:cs="宋体"/>
                <w:i w:val="0"/>
                <w:iCs w:val="0"/>
                <w:color w:val="auto"/>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5BDB6">
            <w:pPr>
              <w:jc w:val="left"/>
              <w:rPr>
                <w:rFonts w:hint="eastAsia" w:ascii="宋体" w:hAnsi="宋体" w:eastAsia="宋体" w:cs="宋体"/>
                <w:i w:val="0"/>
                <w:iCs w:val="0"/>
                <w:color w:val="auto"/>
                <w:sz w:val="18"/>
                <w:szCs w:val="18"/>
                <w:u w:val="none"/>
              </w:rPr>
            </w:pPr>
          </w:p>
        </w:tc>
      </w:tr>
      <w:tr w14:paraId="7AF71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72" w:type="dxa"/>
            <w:vMerge w:val="continue"/>
            <w:tcBorders>
              <w:left w:val="single" w:color="000000" w:sz="4" w:space="0"/>
              <w:right w:val="single" w:color="000000" w:sz="4" w:space="0"/>
            </w:tcBorders>
            <w:shd w:val="clear" w:color="auto" w:fill="auto"/>
            <w:noWrap/>
            <w:vAlign w:val="center"/>
          </w:tcPr>
          <w:p w14:paraId="6C81C453">
            <w:pPr>
              <w:jc w:val="both"/>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15C06793">
            <w:pPr>
              <w:jc w:val="center"/>
              <w:rPr>
                <w:rFonts w:hint="eastAsia" w:ascii="宋体" w:hAnsi="宋体" w:eastAsia="宋体" w:cs="宋体"/>
                <w:i w:val="0"/>
                <w:iCs w:val="0"/>
                <w:color w:val="auto"/>
                <w:sz w:val="18"/>
                <w:szCs w:val="18"/>
                <w:u w:val="none"/>
              </w:rPr>
            </w:pPr>
          </w:p>
        </w:tc>
        <w:tc>
          <w:tcPr>
            <w:tcW w:w="15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4E172">
            <w:pPr>
              <w:jc w:val="center"/>
              <w:rPr>
                <w:rFonts w:hint="eastAsia" w:ascii="宋体" w:hAnsi="宋体" w:eastAsia="宋体" w:cs="宋体"/>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32B83">
            <w:pPr>
              <w:jc w:val="center"/>
              <w:rPr>
                <w:rFonts w:hint="eastAsia" w:ascii="宋体" w:hAnsi="宋体" w:eastAsia="宋体" w:cs="宋体"/>
                <w:i w:val="0"/>
                <w:iCs w:val="0"/>
                <w:color w:val="auto"/>
                <w:sz w:val="18"/>
                <w:szCs w:val="18"/>
                <w:u w:val="none"/>
              </w:rPr>
            </w:pP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14C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②物业管理项目服务人员配置情况及各岗位责任人、工作职责、工作范围等基本信息；</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058D9">
            <w:pPr>
              <w:jc w:val="left"/>
              <w:rPr>
                <w:rFonts w:hint="eastAsia" w:ascii="宋体" w:hAnsi="宋体" w:eastAsia="宋体" w:cs="宋体"/>
                <w:i w:val="0"/>
                <w:iCs w:val="0"/>
                <w:color w:val="auto"/>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DED40">
            <w:pPr>
              <w:jc w:val="left"/>
              <w:rPr>
                <w:rFonts w:hint="eastAsia" w:ascii="宋体" w:hAnsi="宋体" w:eastAsia="宋体" w:cs="宋体"/>
                <w:i w:val="0"/>
                <w:iCs w:val="0"/>
                <w:color w:val="auto"/>
                <w:sz w:val="18"/>
                <w:szCs w:val="18"/>
                <w:u w:val="none"/>
              </w:rPr>
            </w:pPr>
          </w:p>
        </w:tc>
      </w:tr>
      <w:tr w14:paraId="7017E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72" w:type="dxa"/>
            <w:vMerge w:val="continue"/>
            <w:tcBorders>
              <w:left w:val="single" w:color="000000" w:sz="4" w:space="0"/>
              <w:right w:val="single" w:color="000000" w:sz="4" w:space="0"/>
            </w:tcBorders>
            <w:shd w:val="clear" w:color="auto" w:fill="auto"/>
            <w:noWrap/>
            <w:vAlign w:val="center"/>
          </w:tcPr>
          <w:p w14:paraId="53E41E33">
            <w:pPr>
              <w:jc w:val="both"/>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7E5CFCCF">
            <w:pPr>
              <w:jc w:val="center"/>
              <w:rPr>
                <w:rFonts w:hint="eastAsia" w:ascii="宋体" w:hAnsi="宋体" w:eastAsia="宋体" w:cs="宋体"/>
                <w:i w:val="0"/>
                <w:iCs w:val="0"/>
                <w:color w:val="auto"/>
                <w:sz w:val="18"/>
                <w:szCs w:val="18"/>
                <w:u w:val="none"/>
              </w:rPr>
            </w:pPr>
          </w:p>
        </w:tc>
        <w:tc>
          <w:tcPr>
            <w:tcW w:w="15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AED75">
            <w:pPr>
              <w:jc w:val="center"/>
              <w:rPr>
                <w:rFonts w:hint="eastAsia" w:ascii="宋体" w:hAnsi="宋体" w:eastAsia="宋体" w:cs="宋体"/>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DF8A5">
            <w:pPr>
              <w:jc w:val="center"/>
              <w:rPr>
                <w:rFonts w:hint="eastAsia" w:ascii="宋体" w:hAnsi="宋体" w:eastAsia="宋体" w:cs="宋体"/>
                <w:i w:val="0"/>
                <w:iCs w:val="0"/>
                <w:color w:val="auto"/>
                <w:sz w:val="18"/>
                <w:szCs w:val="18"/>
                <w:u w:val="none"/>
              </w:rPr>
            </w:pP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B7CB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③服务事项、服务标准、收费项目、收费标准和方式等；</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59279">
            <w:pPr>
              <w:jc w:val="left"/>
              <w:rPr>
                <w:rFonts w:hint="eastAsia" w:ascii="宋体" w:hAnsi="宋体" w:eastAsia="宋体" w:cs="宋体"/>
                <w:i w:val="0"/>
                <w:iCs w:val="0"/>
                <w:color w:val="auto"/>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DA5E7">
            <w:pPr>
              <w:jc w:val="left"/>
              <w:rPr>
                <w:rFonts w:hint="eastAsia" w:ascii="宋体" w:hAnsi="宋体" w:eastAsia="宋体" w:cs="宋体"/>
                <w:i w:val="0"/>
                <w:iCs w:val="0"/>
                <w:color w:val="auto"/>
                <w:sz w:val="18"/>
                <w:szCs w:val="18"/>
                <w:u w:val="none"/>
              </w:rPr>
            </w:pPr>
          </w:p>
        </w:tc>
      </w:tr>
      <w:tr w14:paraId="1B742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72" w:type="dxa"/>
            <w:vMerge w:val="continue"/>
            <w:tcBorders>
              <w:left w:val="single" w:color="000000" w:sz="4" w:space="0"/>
              <w:right w:val="single" w:color="000000" w:sz="4" w:space="0"/>
            </w:tcBorders>
            <w:shd w:val="clear" w:color="auto" w:fill="auto"/>
            <w:noWrap/>
            <w:vAlign w:val="center"/>
          </w:tcPr>
          <w:p w14:paraId="25C79C7B">
            <w:pPr>
              <w:jc w:val="both"/>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66325831">
            <w:pPr>
              <w:jc w:val="center"/>
              <w:rPr>
                <w:rFonts w:hint="eastAsia" w:ascii="宋体" w:hAnsi="宋体" w:eastAsia="宋体" w:cs="宋体"/>
                <w:i w:val="0"/>
                <w:iCs w:val="0"/>
                <w:color w:val="auto"/>
                <w:sz w:val="18"/>
                <w:szCs w:val="18"/>
                <w:u w:val="none"/>
              </w:rPr>
            </w:pPr>
          </w:p>
        </w:tc>
        <w:tc>
          <w:tcPr>
            <w:tcW w:w="15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A28C1">
            <w:pPr>
              <w:jc w:val="center"/>
              <w:rPr>
                <w:rFonts w:hint="eastAsia" w:ascii="宋体" w:hAnsi="宋体" w:eastAsia="宋体" w:cs="宋体"/>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D18A8">
            <w:pPr>
              <w:jc w:val="center"/>
              <w:rPr>
                <w:rFonts w:hint="eastAsia" w:ascii="宋体" w:hAnsi="宋体" w:eastAsia="宋体" w:cs="宋体"/>
                <w:i w:val="0"/>
                <w:iCs w:val="0"/>
                <w:color w:val="auto"/>
                <w:sz w:val="18"/>
                <w:szCs w:val="18"/>
                <w:u w:val="none"/>
              </w:rPr>
            </w:pP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F760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④受委托管理的专项维修资金使用情况和业主共有部分的经营、收益情况（其中公共收益情况按季度公示，时间不少于一个月）；</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41F92">
            <w:pPr>
              <w:jc w:val="left"/>
              <w:rPr>
                <w:rFonts w:hint="eastAsia" w:ascii="宋体" w:hAnsi="宋体" w:eastAsia="宋体" w:cs="宋体"/>
                <w:i w:val="0"/>
                <w:iCs w:val="0"/>
                <w:color w:val="auto"/>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8FC2D">
            <w:pPr>
              <w:jc w:val="left"/>
              <w:rPr>
                <w:rFonts w:hint="eastAsia" w:ascii="宋体" w:hAnsi="宋体" w:eastAsia="宋体" w:cs="宋体"/>
                <w:i w:val="0"/>
                <w:iCs w:val="0"/>
                <w:color w:val="auto"/>
                <w:sz w:val="18"/>
                <w:szCs w:val="18"/>
                <w:u w:val="none"/>
              </w:rPr>
            </w:pPr>
          </w:p>
        </w:tc>
      </w:tr>
      <w:tr w14:paraId="396B6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972" w:type="dxa"/>
            <w:vMerge w:val="continue"/>
            <w:tcBorders>
              <w:left w:val="single" w:color="000000" w:sz="4" w:space="0"/>
              <w:right w:val="single" w:color="000000" w:sz="4" w:space="0"/>
            </w:tcBorders>
            <w:shd w:val="clear" w:color="auto" w:fill="auto"/>
            <w:noWrap/>
            <w:vAlign w:val="center"/>
          </w:tcPr>
          <w:p w14:paraId="49453AB1">
            <w:pPr>
              <w:jc w:val="both"/>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6CA3576B">
            <w:pPr>
              <w:jc w:val="center"/>
              <w:rPr>
                <w:rFonts w:hint="eastAsia" w:ascii="宋体" w:hAnsi="宋体" w:eastAsia="宋体" w:cs="宋体"/>
                <w:i w:val="0"/>
                <w:iCs w:val="0"/>
                <w:color w:val="auto"/>
                <w:sz w:val="18"/>
                <w:szCs w:val="18"/>
                <w:u w:val="none"/>
              </w:rPr>
            </w:pPr>
          </w:p>
        </w:tc>
        <w:tc>
          <w:tcPr>
            <w:tcW w:w="15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1998C">
            <w:pPr>
              <w:jc w:val="center"/>
              <w:rPr>
                <w:rFonts w:hint="eastAsia" w:ascii="宋体" w:hAnsi="宋体" w:eastAsia="宋体" w:cs="宋体"/>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27A83">
            <w:pPr>
              <w:jc w:val="center"/>
              <w:rPr>
                <w:rFonts w:hint="eastAsia" w:ascii="宋体" w:hAnsi="宋体" w:eastAsia="宋体" w:cs="宋体"/>
                <w:i w:val="0"/>
                <w:iCs w:val="0"/>
                <w:color w:val="auto"/>
                <w:sz w:val="18"/>
                <w:szCs w:val="18"/>
                <w:u w:val="none"/>
              </w:rPr>
            </w:pP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B207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⑤电梯、消防、监控、人防等具有专业技术要求的设施设备的日常维护巡查记录，维修保养单位名称、资质、联系方式、维保方案和应急处置方案等；</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EA6B3">
            <w:pPr>
              <w:jc w:val="left"/>
              <w:rPr>
                <w:rFonts w:hint="eastAsia" w:ascii="宋体" w:hAnsi="宋体" w:eastAsia="宋体" w:cs="宋体"/>
                <w:i w:val="0"/>
                <w:iCs w:val="0"/>
                <w:color w:val="auto"/>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0255C">
            <w:pPr>
              <w:jc w:val="left"/>
              <w:rPr>
                <w:rFonts w:hint="eastAsia" w:ascii="宋体" w:hAnsi="宋体" w:eastAsia="宋体" w:cs="宋体"/>
                <w:i w:val="0"/>
                <w:iCs w:val="0"/>
                <w:color w:val="auto"/>
                <w:sz w:val="18"/>
                <w:szCs w:val="18"/>
                <w:u w:val="none"/>
              </w:rPr>
            </w:pPr>
          </w:p>
        </w:tc>
      </w:tr>
      <w:tr w14:paraId="78FF5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2" w:type="dxa"/>
            <w:vMerge w:val="continue"/>
            <w:tcBorders>
              <w:left w:val="single" w:color="000000" w:sz="4" w:space="0"/>
              <w:right w:val="single" w:color="000000" w:sz="4" w:space="0"/>
            </w:tcBorders>
            <w:shd w:val="clear" w:color="auto" w:fill="auto"/>
            <w:noWrap/>
            <w:vAlign w:val="center"/>
          </w:tcPr>
          <w:p w14:paraId="6CFC9852">
            <w:pPr>
              <w:jc w:val="both"/>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3EF99F2B">
            <w:pPr>
              <w:jc w:val="center"/>
              <w:rPr>
                <w:rFonts w:hint="eastAsia" w:ascii="宋体" w:hAnsi="宋体" w:eastAsia="宋体" w:cs="宋体"/>
                <w:i w:val="0"/>
                <w:iCs w:val="0"/>
                <w:color w:val="auto"/>
                <w:sz w:val="18"/>
                <w:szCs w:val="18"/>
                <w:u w:val="none"/>
              </w:rPr>
            </w:pPr>
          </w:p>
        </w:tc>
        <w:tc>
          <w:tcPr>
            <w:tcW w:w="15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539C3">
            <w:pPr>
              <w:jc w:val="center"/>
              <w:rPr>
                <w:rFonts w:hint="eastAsia" w:ascii="宋体" w:hAnsi="宋体" w:eastAsia="宋体" w:cs="宋体"/>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A4005">
            <w:pPr>
              <w:jc w:val="center"/>
              <w:rPr>
                <w:rFonts w:hint="eastAsia" w:ascii="宋体" w:hAnsi="宋体" w:eastAsia="宋体" w:cs="宋体"/>
                <w:i w:val="0"/>
                <w:iCs w:val="0"/>
                <w:color w:val="auto"/>
                <w:sz w:val="18"/>
                <w:szCs w:val="18"/>
                <w:u w:val="none"/>
              </w:rPr>
            </w:pP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DE45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⑥其他按照法律、法规规定的应当公示的信息</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7E244">
            <w:pPr>
              <w:jc w:val="left"/>
              <w:rPr>
                <w:rFonts w:hint="eastAsia" w:ascii="宋体" w:hAnsi="宋体" w:eastAsia="宋体" w:cs="宋体"/>
                <w:i w:val="0"/>
                <w:iCs w:val="0"/>
                <w:color w:val="auto"/>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96137">
            <w:pPr>
              <w:jc w:val="left"/>
              <w:rPr>
                <w:rFonts w:hint="eastAsia" w:ascii="宋体" w:hAnsi="宋体" w:eastAsia="宋体" w:cs="宋体"/>
                <w:i w:val="0"/>
                <w:iCs w:val="0"/>
                <w:color w:val="auto"/>
                <w:sz w:val="18"/>
                <w:szCs w:val="18"/>
                <w:u w:val="none"/>
              </w:rPr>
            </w:pPr>
          </w:p>
        </w:tc>
      </w:tr>
      <w:tr w14:paraId="4E84C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72" w:type="dxa"/>
            <w:vMerge w:val="continue"/>
            <w:tcBorders>
              <w:left w:val="single" w:color="000000" w:sz="4" w:space="0"/>
              <w:right w:val="single" w:color="000000" w:sz="4" w:space="0"/>
            </w:tcBorders>
            <w:shd w:val="clear" w:color="auto" w:fill="auto"/>
            <w:noWrap/>
            <w:vAlign w:val="center"/>
          </w:tcPr>
          <w:p w14:paraId="0F4F37CE">
            <w:pPr>
              <w:jc w:val="both"/>
              <w:rPr>
                <w:rFonts w:hint="eastAsia" w:ascii="宋体" w:hAnsi="宋体" w:eastAsia="宋体" w:cs="宋体"/>
                <w:i w:val="0"/>
                <w:iCs w:val="0"/>
                <w:color w:val="auto"/>
                <w:sz w:val="18"/>
                <w:szCs w:val="18"/>
                <w:u w:val="none"/>
              </w:rPr>
            </w:pPr>
          </w:p>
        </w:tc>
        <w:tc>
          <w:tcPr>
            <w:tcW w:w="975" w:type="dxa"/>
            <w:vMerge w:val="continue"/>
            <w:tcBorders>
              <w:left w:val="single" w:color="000000" w:sz="4" w:space="0"/>
              <w:bottom w:val="single" w:color="000000" w:sz="4" w:space="0"/>
              <w:right w:val="single" w:color="000000" w:sz="4" w:space="0"/>
            </w:tcBorders>
            <w:shd w:val="clear" w:color="auto" w:fill="auto"/>
            <w:vAlign w:val="center"/>
          </w:tcPr>
          <w:p w14:paraId="762D30B8">
            <w:pPr>
              <w:jc w:val="center"/>
              <w:rPr>
                <w:rFonts w:hint="eastAsia" w:ascii="宋体" w:hAnsi="宋体" w:eastAsia="宋体" w:cs="宋体"/>
                <w:i w:val="0"/>
                <w:iCs w:val="0"/>
                <w:color w:val="auto"/>
                <w:sz w:val="18"/>
                <w:szCs w:val="18"/>
                <w:u w:val="none"/>
              </w:rPr>
            </w:pP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A89D8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外联管理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AC1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7EE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应与所辖政府部门、公共服务机构、行业协会、新闻媒体等建立联络关系并定期维护</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875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查看文件</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9403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有定期维护记录得0～5分，没有记录得0分</w:t>
            </w:r>
          </w:p>
        </w:tc>
      </w:tr>
      <w:tr w14:paraId="2EFD9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972" w:type="dxa"/>
            <w:vMerge w:val="continue"/>
            <w:tcBorders>
              <w:left w:val="single" w:color="000000" w:sz="4" w:space="0"/>
              <w:right w:val="single" w:color="000000" w:sz="4" w:space="0"/>
            </w:tcBorders>
            <w:shd w:val="clear" w:color="auto" w:fill="auto"/>
            <w:noWrap/>
            <w:vAlign w:val="center"/>
          </w:tcPr>
          <w:p w14:paraId="19BC7859">
            <w:pPr>
              <w:jc w:val="both"/>
              <w:rPr>
                <w:rFonts w:hint="eastAsia" w:ascii="宋体" w:hAnsi="宋体" w:eastAsia="宋体" w:cs="宋体"/>
                <w:i w:val="0"/>
                <w:iCs w:val="0"/>
                <w:color w:val="auto"/>
                <w:sz w:val="18"/>
                <w:szCs w:val="18"/>
                <w:u w:val="none"/>
              </w:rPr>
            </w:pPr>
          </w:p>
        </w:tc>
        <w:tc>
          <w:tcPr>
            <w:tcW w:w="975" w:type="dxa"/>
            <w:vMerge w:val="restart"/>
            <w:tcBorders>
              <w:top w:val="single" w:color="000000" w:sz="4" w:space="0"/>
              <w:left w:val="single" w:color="000000" w:sz="4" w:space="0"/>
              <w:right w:val="single" w:color="000000" w:sz="4" w:space="0"/>
            </w:tcBorders>
            <w:shd w:val="clear" w:color="auto" w:fill="auto"/>
            <w:vAlign w:val="center"/>
          </w:tcPr>
          <w:p w14:paraId="3BADA54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客户服务（98分）</w:t>
            </w:r>
          </w:p>
        </w:tc>
        <w:tc>
          <w:tcPr>
            <w:tcW w:w="15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4B34C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客户沟通</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A2E43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BED61">
            <w:pPr>
              <w:keepNext w:val="0"/>
              <w:keepLines w:val="0"/>
              <w:widowControl/>
              <w:suppressLineNumbers w:val="0"/>
              <w:jc w:val="left"/>
              <w:textAlignment w:val="center"/>
              <w:rPr>
                <w:rFonts w:ascii="Calibri" w:hAnsi="Calibri" w:eastAsia="宋体" w:cs="Calibri"/>
                <w:i w:val="0"/>
                <w:iCs w:val="0"/>
                <w:color w:val="auto"/>
                <w:sz w:val="18"/>
                <w:szCs w:val="18"/>
                <w:u w:val="none"/>
              </w:rPr>
            </w:pPr>
            <w:r>
              <w:rPr>
                <w:rFonts w:hint="default" w:ascii="Calibri" w:hAnsi="Calibri" w:eastAsia="宋体" w:cs="Calibri"/>
                <w:i w:val="0"/>
                <w:iCs w:val="0"/>
                <w:color w:val="auto"/>
                <w:kern w:val="0"/>
                <w:sz w:val="18"/>
                <w:szCs w:val="18"/>
                <w:u w:val="none"/>
                <w:lang w:val="en-US" w:eastAsia="zh-CN" w:bidi="ar"/>
              </w:rPr>
              <w:t>①</w:t>
            </w:r>
            <w:r>
              <w:rPr>
                <w:rFonts w:hint="eastAsia" w:ascii="宋体" w:hAnsi="宋体" w:eastAsia="宋体" w:cs="宋体"/>
                <w:i w:val="0"/>
                <w:iCs w:val="0"/>
                <w:color w:val="auto"/>
                <w:kern w:val="0"/>
                <w:sz w:val="18"/>
                <w:szCs w:val="18"/>
                <w:u w:val="none"/>
                <w:lang w:val="en-US" w:eastAsia="zh-CN" w:bidi="ar"/>
              </w:rPr>
              <w:t>建立客户沟通计划，通过适当方式与客户沟通，如上门走访、前台接待、电话拜访、网络 APP、联席会议、座谈会等方式；</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70B28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查验资料，重点检查制度标准文件内容是否完善适用，与实际运行是否相符；检查会议频次是否符合相关规定，记录真实、规范（时间、地点、内容、参加人签到情况等要素，齐全），抽查至少2份客户拜访记录</w:t>
            </w:r>
          </w:p>
        </w:tc>
        <w:tc>
          <w:tcPr>
            <w:tcW w:w="33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212F7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有相关文件的，依据符合要求的程度得0～20分，每发现一处不符合扣1分，扣完为止；无相关文件的，得0分</w:t>
            </w:r>
          </w:p>
        </w:tc>
      </w:tr>
      <w:tr w14:paraId="77252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972" w:type="dxa"/>
            <w:vMerge w:val="continue"/>
            <w:tcBorders>
              <w:left w:val="single" w:color="000000" w:sz="4" w:space="0"/>
              <w:bottom w:val="single" w:color="000000" w:sz="4" w:space="0"/>
              <w:right w:val="single" w:color="000000" w:sz="4" w:space="0"/>
            </w:tcBorders>
            <w:shd w:val="clear" w:color="auto" w:fill="auto"/>
            <w:noWrap/>
            <w:vAlign w:val="center"/>
          </w:tcPr>
          <w:p w14:paraId="73ED51ED">
            <w:pPr>
              <w:jc w:val="both"/>
              <w:rPr>
                <w:rFonts w:hint="eastAsia" w:ascii="宋体" w:hAnsi="宋体" w:eastAsia="宋体" w:cs="宋体"/>
                <w:i w:val="0"/>
                <w:iCs w:val="0"/>
                <w:color w:val="auto"/>
                <w:sz w:val="18"/>
                <w:szCs w:val="18"/>
                <w:u w:val="none"/>
              </w:rPr>
            </w:pPr>
          </w:p>
        </w:tc>
        <w:tc>
          <w:tcPr>
            <w:tcW w:w="975" w:type="dxa"/>
            <w:vMerge w:val="continue"/>
            <w:tcBorders>
              <w:left w:val="single" w:color="000000" w:sz="4" w:space="0"/>
              <w:bottom w:val="single" w:color="000000" w:sz="4" w:space="0"/>
              <w:right w:val="single" w:color="000000" w:sz="4" w:space="0"/>
            </w:tcBorders>
            <w:shd w:val="clear" w:color="auto" w:fill="auto"/>
            <w:vAlign w:val="center"/>
          </w:tcPr>
          <w:p w14:paraId="68261777">
            <w:pPr>
              <w:jc w:val="center"/>
              <w:rPr>
                <w:rFonts w:hint="eastAsia" w:ascii="宋体" w:hAnsi="宋体" w:eastAsia="宋体" w:cs="宋体"/>
                <w:i w:val="0"/>
                <w:iCs w:val="0"/>
                <w:color w:val="auto"/>
                <w:sz w:val="18"/>
                <w:szCs w:val="18"/>
                <w:u w:val="none"/>
              </w:rPr>
            </w:pPr>
          </w:p>
        </w:tc>
        <w:tc>
          <w:tcPr>
            <w:tcW w:w="15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71BCF">
            <w:pPr>
              <w:jc w:val="center"/>
              <w:rPr>
                <w:rFonts w:hint="eastAsia" w:ascii="宋体" w:hAnsi="宋体" w:eastAsia="宋体" w:cs="宋体"/>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F7CA5">
            <w:pPr>
              <w:jc w:val="center"/>
              <w:rPr>
                <w:rFonts w:hint="eastAsia" w:ascii="宋体" w:hAnsi="宋体" w:eastAsia="宋体" w:cs="宋体"/>
                <w:i w:val="0"/>
                <w:iCs w:val="0"/>
                <w:color w:val="auto"/>
                <w:sz w:val="18"/>
                <w:szCs w:val="18"/>
                <w:u w:val="none"/>
              </w:rPr>
            </w:pP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B6CB">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②</w:t>
            </w:r>
            <w:r>
              <w:rPr>
                <w:rFonts w:hint="eastAsia" w:ascii="宋体" w:hAnsi="宋体" w:eastAsia="宋体" w:cs="宋体"/>
                <w:i w:val="0"/>
                <w:iCs w:val="0"/>
                <w:color w:val="auto"/>
                <w:kern w:val="0"/>
                <w:sz w:val="18"/>
                <w:szCs w:val="18"/>
                <w:u w:val="none"/>
                <w:lang w:val="en-US" w:eastAsia="zh-CN" w:bidi="ar"/>
              </w:rPr>
              <w:t>对客沟通内容包括了解客户需求、处理问题、告知物业服务的工作情况等，进行准确的信息传递，对客户需求及时分析处理并反馈结果</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E72A9">
            <w:pPr>
              <w:jc w:val="left"/>
              <w:rPr>
                <w:rFonts w:hint="eastAsia" w:ascii="宋体" w:hAnsi="宋体" w:eastAsia="宋体" w:cs="宋体"/>
                <w:i w:val="0"/>
                <w:iCs w:val="0"/>
                <w:color w:val="auto"/>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507B4">
            <w:pPr>
              <w:jc w:val="left"/>
              <w:rPr>
                <w:rFonts w:hint="eastAsia" w:ascii="宋体" w:hAnsi="宋体" w:eastAsia="宋体" w:cs="宋体"/>
                <w:i w:val="0"/>
                <w:iCs w:val="0"/>
                <w:color w:val="auto"/>
                <w:sz w:val="18"/>
                <w:szCs w:val="18"/>
                <w:u w:val="none"/>
              </w:rPr>
            </w:pPr>
          </w:p>
        </w:tc>
      </w:tr>
      <w:tr w14:paraId="08DE5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972" w:type="dxa"/>
            <w:vMerge w:val="restart"/>
            <w:tcBorders>
              <w:top w:val="single" w:color="000000" w:sz="4" w:space="0"/>
              <w:left w:val="single" w:color="000000" w:sz="4" w:space="0"/>
              <w:right w:val="single" w:color="000000" w:sz="4" w:space="0"/>
            </w:tcBorders>
            <w:shd w:val="clear" w:color="auto" w:fill="auto"/>
            <w:noWrap/>
            <w:vAlign w:val="center"/>
          </w:tcPr>
          <w:p w14:paraId="2EA6E84C">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服务过程（600分，不含延伸服务10分）</w:t>
            </w:r>
          </w:p>
        </w:tc>
        <w:tc>
          <w:tcPr>
            <w:tcW w:w="975" w:type="dxa"/>
            <w:vMerge w:val="restart"/>
            <w:tcBorders>
              <w:top w:val="single" w:color="000000" w:sz="4" w:space="0"/>
              <w:left w:val="single" w:color="000000" w:sz="4" w:space="0"/>
              <w:right w:val="single" w:color="000000" w:sz="4" w:space="0"/>
            </w:tcBorders>
            <w:shd w:val="clear" w:color="auto" w:fill="auto"/>
            <w:vAlign w:val="center"/>
          </w:tcPr>
          <w:p w14:paraId="194E841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客户服务（98分）</w:t>
            </w: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63480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入驻迁出服务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9FBC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622D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客户入驻和迁出时，服务人员应按规定的程序、要求及时受理，确保手续完备，并及时登记、归档，并告知客户入住或迁出的管理要求，必要时安排服务人员现场管理和协助</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60FC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查验资料，重点检查记录内容是否完整，与实际运行是否相符</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F554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依据符合要求的程度得0～10分，每发现一处不符合扣1分，扣完为止；无相关文件的，得0分</w:t>
            </w:r>
          </w:p>
        </w:tc>
      </w:tr>
      <w:tr w14:paraId="5E096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72" w:type="dxa"/>
            <w:vMerge w:val="continue"/>
            <w:tcBorders>
              <w:left w:val="single" w:color="000000" w:sz="4" w:space="0"/>
              <w:right w:val="single" w:color="000000" w:sz="4" w:space="0"/>
            </w:tcBorders>
            <w:shd w:val="clear" w:color="auto" w:fill="auto"/>
            <w:noWrap/>
            <w:vAlign w:val="center"/>
          </w:tcPr>
          <w:p w14:paraId="31FBC6E6">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76B9E3B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p>
        </w:tc>
        <w:tc>
          <w:tcPr>
            <w:tcW w:w="15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EED45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接待管理</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46E7A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6FC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①设立产业园区客户服务中心，接待客户来访、咨询、报事、求助、投诉等，并通过服务前台、电话、智慧APP\小程序、微信、邮件等多种途径开展工作；</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9292B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现场查证+资料查验</w:t>
            </w:r>
          </w:p>
        </w:tc>
        <w:tc>
          <w:tcPr>
            <w:tcW w:w="33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E89FF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依据符合要求的程度得0～20分，每发现一处不符合扣1分，扣完为止；无相关文件的，得0分</w:t>
            </w:r>
          </w:p>
        </w:tc>
      </w:tr>
      <w:tr w14:paraId="7ACB9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72" w:type="dxa"/>
            <w:vMerge w:val="continue"/>
            <w:tcBorders>
              <w:left w:val="single" w:color="000000" w:sz="4" w:space="0"/>
              <w:right w:val="single" w:color="000000" w:sz="4" w:space="0"/>
            </w:tcBorders>
            <w:shd w:val="clear" w:color="auto" w:fill="auto"/>
            <w:noWrap/>
            <w:vAlign w:val="center"/>
          </w:tcPr>
          <w:p w14:paraId="245DCD63">
            <w:pPr>
              <w:jc w:val="both"/>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63374127">
            <w:pPr>
              <w:jc w:val="center"/>
              <w:rPr>
                <w:rFonts w:hint="eastAsia" w:ascii="宋体" w:hAnsi="宋体" w:eastAsia="宋体" w:cs="宋体"/>
                <w:i w:val="0"/>
                <w:iCs w:val="0"/>
                <w:color w:val="auto"/>
                <w:sz w:val="18"/>
                <w:szCs w:val="18"/>
                <w:u w:val="none"/>
              </w:rPr>
            </w:pPr>
          </w:p>
        </w:tc>
        <w:tc>
          <w:tcPr>
            <w:tcW w:w="15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2C32A">
            <w:pPr>
              <w:jc w:val="center"/>
              <w:rPr>
                <w:rFonts w:hint="eastAsia" w:ascii="宋体" w:hAnsi="宋体" w:eastAsia="宋体" w:cs="宋体"/>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FDC61">
            <w:pPr>
              <w:jc w:val="center"/>
              <w:rPr>
                <w:rFonts w:hint="eastAsia" w:ascii="宋体" w:hAnsi="宋体" w:eastAsia="宋体" w:cs="宋体"/>
                <w:i w:val="0"/>
                <w:iCs w:val="0"/>
                <w:color w:val="auto"/>
                <w:sz w:val="18"/>
                <w:szCs w:val="18"/>
                <w:u w:val="none"/>
              </w:rPr>
            </w:pP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1A1F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②服务工作时间应有接待人员，其余时间应设值班人员，并公布24h服务电话；</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4FEFB">
            <w:pPr>
              <w:jc w:val="left"/>
              <w:rPr>
                <w:rFonts w:hint="eastAsia" w:ascii="宋体" w:hAnsi="宋体" w:eastAsia="宋体" w:cs="宋体"/>
                <w:i w:val="0"/>
                <w:iCs w:val="0"/>
                <w:color w:val="auto"/>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BCF12">
            <w:pPr>
              <w:jc w:val="left"/>
              <w:rPr>
                <w:rFonts w:hint="eastAsia" w:ascii="宋体" w:hAnsi="宋体" w:eastAsia="宋体" w:cs="宋体"/>
                <w:i w:val="0"/>
                <w:iCs w:val="0"/>
                <w:color w:val="auto"/>
                <w:sz w:val="18"/>
                <w:szCs w:val="18"/>
                <w:u w:val="none"/>
              </w:rPr>
            </w:pPr>
          </w:p>
        </w:tc>
      </w:tr>
      <w:tr w14:paraId="6C9AC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72" w:type="dxa"/>
            <w:vMerge w:val="continue"/>
            <w:tcBorders>
              <w:left w:val="single" w:color="000000" w:sz="4" w:space="0"/>
              <w:right w:val="single" w:color="000000" w:sz="4" w:space="0"/>
            </w:tcBorders>
            <w:shd w:val="clear" w:color="auto" w:fill="auto"/>
            <w:noWrap/>
            <w:vAlign w:val="center"/>
          </w:tcPr>
          <w:p w14:paraId="0612ECB0">
            <w:pPr>
              <w:jc w:val="both"/>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21B3F7AE">
            <w:pPr>
              <w:jc w:val="center"/>
              <w:rPr>
                <w:rFonts w:hint="eastAsia" w:ascii="宋体" w:hAnsi="宋体" w:eastAsia="宋体" w:cs="宋体"/>
                <w:i w:val="0"/>
                <w:iCs w:val="0"/>
                <w:color w:val="auto"/>
                <w:sz w:val="18"/>
                <w:szCs w:val="18"/>
                <w:u w:val="none"/>
              </w:rPr>
            </w:pPr>
          </w:p>
        </w:tc>
        <w:tc>
          <w:tcPr>
            <w:tcW w:w="15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CFBE5">
            <w:pPr>
              <w:jc w:val="center"/>
              <w:rPr>
                <w:rFonts w:hint="eastAsia" w:ascii="宋体" w:hAnsi="宋体" w:eastAsia="宋体" w:cs="宋体"/>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EEBA6">
            <w:pPr>
              <w:jc w:val="center"/>
              <w:rPr>
                <w:rFonts w:hint="eastAsia" w:ascii="宋体" w:hAnsi="宋体" w:eastAsia="宋体" w:cs="宋体"/>
                <w:i w:val="0"/>
                <w:iCs w:val="0"/>
                <w:color w:val="auto"/>
                <w:sz w:val="18"/>
                <w:szCs w:val="18"/>
                <w:u w:val="none"/>
              </w:rPr>
            </w:pP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A343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③接到投诉，在承诺时间内明确投诉情况及原因，形成解决方案并回复客户，反馈投诉处理进程或结果，并建立客户投诉档案，内容清晰完整</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3E3E7">
            <w:pPr>
              <w:jc w:val="left"/>
              <w:rPr>
                <w:rFonts w:hint="eastAsia" w:ascii="宋体" w:hAnsi="宋体" w:eastAsia="宋体" w:cs="宋体"/>
                <w:i w:val="0"/>
                <w:iCs w:val="0"/>
                <w:color w:val="auto"/>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FACB0">
            <w:pPr>
              <w:jc w:val="left"/>
              <w:rPr>
                <w:rFonts w:hint="eastAsia" w:ascii="宋体" w:hAnsi="宋体" w:eastAsia="宋体" w:cs="宋体"/>
                <w:i w:val="0"/>
                <w:iCs w:val="0"/>
                <w:color w:val="auto"/>
                <w:sz w:val="18"/>
                <w:szCs w:val="18"/>
                <w:u w:val="none"/>
              </w:rPr>
            </w:pPr>
          </w:p>
        </w:tc>
      </w:tr>
      <w:tr w14:paraId="24941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72" w:type="dxa"/>
            <w:vMerge w:val="continue"/>
            <w:tcBorders>
              <w:left w:val="single" w:color="000000" w:sz="4" w:space="0"/>
              <w:right w:val="single" w:color="000000" w:sz="4" w:space="0"/>
            </w:tcBorders>
            <w:shd w:val="clear" w:color="auto" w:fill="auto"/>
            <w:noWrap/>
            <w:vAlign w:val="center"/>
          </w:tcPr>
          <w:p w14:paraId="0656E252">
            <w:pPr>
              <w:jc w:val="both"/>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7EBBBD5E">
            <w:pPr>
              <w:jc w:val="center"/>
              <w:rPr>
                <w:rFonts w:hint="eastAsia" w:ascii="宋体" w:hAnsi="宋体" w:eastAsia="宋体" w:cs="宋体"/>
                <w:i w:val="0"/>
                <w:iCs w:val="0"/>
                <w:color w:val="auto"/>
                <w:sz w:val="18"/>
                <w:szCs w:val="18"/>
                <w:u w:val="none"/>
              </w:rPr>
            </w:pP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197A6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报事报修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31FF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3EA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应建立报事报修响应反馈制度，并定期将报事报修记录进行归档，内容清晰完整</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6739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查验资料，重点检查制度标准文件内容是否完善适用，与实际运行是否相符，报修记录是否完整</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364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有相关文件的，依据符合要求的程度得0～20分，每发现一处不符合扣1分，扣完为止；无相关文件的，得0分</w:t>
            </w:r>
          </w:p>
        </w:tc>
      </w:tr>
      <w:tr w14:paraId="7937C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72" w:type="dxa"/>
            <w:vMerge w:val="continue"/>
            <w:tcBorders>
              <w:left w:val="single" w:color="000000" w:sz="4" w:space="0"/>
              <w:right w:val="single" w:color="000000" w:sz="4" w:space="0"/>
            </w:tcBorders>
            <w:shd w:val="clear" w:color="auto" w:fill="auto"/>
            <w:noWrap/>
            <w:vAlign w:val="center"/>
          </w:tcPr>
          <w:p w14:paraId="4FB37086">
            <w:pPr>
              <w:jc w:val="both"/>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7A1968E6">
            <w:pPr>
              <w:jc w:val="center"/>
              <w:rPr>
                <w:rFonts w:hint="eastAsia" w:ascii="宋体" w:hAnsi="宋体" w:eastAsia="宋体" w:cs="宋体"/>
                <w:i w:val="0"/>
                <w:iCs w:val="0"/>
                <w:color w:val="auto"/>
                <w:sz w:val="18"/>
                <w:szCs w:val="18"/>
                <w:u w:val="none"/>
              </w:rPr>
            </w:pPr>
          </w:p>
        </w:tc>
        <w:tc>
          <w:tcPr>
            <w:tcW w:w="15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53938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装饰装修管理</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1651B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6C5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①应制定装饰装修管理制度，装饰装修管理资料应分户存档</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AC4EF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查验资料，重点检查制度标准文件内容是否完善适用，与实际运行是否相符，实际记录是否完整</w:t>
            </w:r>
          </w:p>
        </w:tc>
        <w:tc>
          <w:tcPr>
            <w:tcW w:w="33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F4C7B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有相关文件的，依据符合要求的程度得0～8分，每发现一处不符合扣1分，扣完为止；无相关文件的，得0分</w:t>
            </w:r>
          </w:p>
        </w:tc>
      </w:tr>
      <w:tr w14:paraId="44BD2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72" w:type="dxa"/>
            <w:vMerge w:val="continue"/>
            <w:tcBorders>
              <w:left w:val="single" w:color="000000" w:sz="4" w:space="0"/>
              <w:right w:val="single" w:color="000000" w:sz="4" w:space="0"/>
            </w:tcBorders>
            <w:shd w:val="clear" w:color="auto" w:fill="auto"/>
            <w:noWrap/>
            <w:vAlign w:val="center"/>
          </w:tcPr>
          <w:p w14:paraId="47E42BAD">
            <w:pPr>
              <w:jc w:val="both"/>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12E44571">
            <w:pPr>
              <w:jc w:val="center"/>
              <w:rPr>
                <w:rFonts w:hint="eastAsia" w:ascii="宋体" w:hAnsi="宋体" w:eastAsia="宋体" w:cs="宋体"/>
                <w:i w:val="0"/>
                <w:iCs w:val="0"/>
                <w:color w:val="auto"/>
                <w:sz w:val="18"/>
                <w:szCs w:val="18"/>
                <w:u w:val="none"/>
              </w:rPr>
            </w:pPr>
          </w:p>
        </w:tc>
        <w:tc>
          <w:tcPr>
            <w:tcW w:w="15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FDA88">
            <w:pPr>
              <w:jc w:val="center"/>
              <w:rPr>
                <w:rFonts w:hint="eastAsia" w:ascii="宋体" w:hAnsi="宋体" w:eastAsia="宋体" w:cs="宋体"/>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5E09C">
            <w:pPr>
              <w:jc w:val="center"/>
              <w:rPr>
                <w:rFonts w:hint="eastAsia" w:ascii="宋体" w:hAnsi="宋体" w:eastAsia="宋体" w:cs="宋体"/>
                <w:i w:val="0"/>
                <w:iCs w:val="0"/>
                <w:color w:val="auto"/>
                <w:sz w:val="18"/>
                <w:szCs w:val="18"/>
                <w:u w:val="none"/>
              </w:rPr>
            </w:pP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9421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②装饰装修应通过规定程序进行申请及审批，通过后办理施工许可手续，签订装饰装修管理安全协议、施工须知等，客服人员做好相关记录并告知相邻客户</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233EC">
            <w:pPr>
              <w:jc w:val="left"/>
              <w:rPr>
                <w:rFonts w:hint="eastAsia" w:ascii="宋体" w:hAnsi="宋体" w:eastAsia="宋体" w:cs="宋体"/>
                <w:i w:val="0"/>
                <w:iCs w:val="0"/>
                <w:color w:val="auto"/>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5A4F8">
            <w:pPr>
              <w:jc w:val="left"/>
              <w:rPr>
                <w:rFonts w:hint="eastAsia" w:ascii="宋体" w:hAnsi="宋体" w:eastAsia="宋体" w:cs="宋体"/>
                <w:i w:val="0"/>
                <w:iCs w:val="0"/>
                <w:color w:val="auto"/>
                <w:sz w:val="18"/>
                <w:szCs w:val="18"/>
                <w:u w:val="none"/>
              </w:rPr>
            </w:pPr>
          </w:p>
        </w:tc>
      </w:tr>
      <w:tr w14:paraId="7C291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972" w:type="dxa"/>
            <w:vMerge w:val="continue"/>
            <w:tcBorders>
              <w:left w:val="single" w:color="000000" w:sz="4" w:space="0"/>
              <w:right w:val="single" w:color="000000" w:sz="4" w:space="0"/>
            </w:tcBorders>
            <w:shd w:val="clear" w:color="auto" w:fill="auto"/>
            <w:noWrap/>
            <w:vAlign w:val="center"/>
          </w:tcPr>
          <w:p w14:paraId="50F861BD">
            <w:pPr>
              <w:jc w:val="both"/>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61D0FEC3">
            <w:pPr>
              <w:jc w:val="center"/>
              <w:rPr>
                <w:rFonts w:hint="eastAsia" w:ascii="宋体" w:hAnsi="宋体" w:eastAsia="宋体" w:cs="宋体"/>
                <w:i w:val="0"/>
                <w:iCs w:val="0"/>
                <w:color w:val="auto"/>
                <w:sz w:val="18"/>
                <w:szCs w:val="18"/>
                <w:u w:val="none"/>
              </w:rPr>
            </w:pPr>
          </w:p>
        </w:tc>
        <w:tc>
          <w:tcPr>
            <w:tcW w:w="15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2FC62">
            <w:pPr>
              <w:jc w:val="center"/>
              <w:rPr>
                <w:rFonts w:hint="eastAsia" w:ascii="宋体" w:hAnsi="宋体" w:eastAsia="宋体" w:cs="宋体"/>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8C0C0">
            <w:pPr>
              <w:jc w:val="center"/>
              <w:rPr>
                <w:rFonts w:hint="eastAsia" w:ascii="宋体" w:hAnsi="宋体" w:eastAsia="宋体" w:cs="宋体"/>
                <w:i w:val="0"/>
                <w:iCs w:val="0"/>
                <w:color w:val="auto"/>
                <w:sz w:val="18"/>
                <w:szCs w:val="18"/>
                <w:u w:val="none"/>
              </w:rPr>
            </w:pP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0928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③施工前对施工方做好安全交底和安全培训，现场应张贴消防及安全防护要求、施工许可等；每日进行装修现场巡查，及时劝阻和制止违规行为；动用明火等特殊作业手续齐全、操作合规</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1EF2F">
            <w:pPr>
              <w:jc w:val="left"/>
              <w:rPr>
                <w:rFonts w:hint="eastAsia" w:ascii="宋体" w:hAnsi="宋体" w:eastAsia="宋体" w:cs="宋体"/>
                <w:i w:val="0"/>
                <w:iCs w:val="0"/>
                <w:color w:val="auto"/>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5F3D9">
            <w:pPr>
              <w:jc w:val="left"/>
              <w:rPr>
                <w:rFonts w:hint="eastAsia" w:ascii="宋体" w:hAnsi="宋体" w:eastAsia="宋体" w:cs="宋体"/>
                <w:i w:val="0"/>
                <w:iCs w:val="0"/>
                <w:color w:val="auto"/>
                <w:sz w:val="18"/>
                <w:szCs w:val="18"/>
                <w:u w:val="none"/>
              </w:rPr>
            </w:pPr>
          </w:p>
        </w:tc>
      </w:tr>
      <w:tr w14:paraId="578F9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972" w:type="dxa"/>
            <w:vMerge w:val="continue"/>
            <w:tcBorders>
              <w:left w:val="single" w:color="000000" w:sz="4" w:space="0"/>
              <w:bottom w:val="single" w:color="000000" w:sz="4" w:space="0"/>
              <w:right w:val="single" w:color="000000" w:sz="4" w:space="0"/>
            </w:tcBorders>
            <w:shd w:val="clear" w:color="auto" w:fill="auto"/>
            <w:noWrap/>
            <w:vAlign w:val="center"/>
          </w:tcPr>
          <w:p w14:paraId="2905DCFA">
            <w:pPr>
              <w:jc w:val="both"/>
              <w:rPr>
                <w:rFonts w:hint="eastAsia" w:ascii="宋体" w:hAnsi="宋体" w:eastAsia="宋体" w:cs="宋体"/>
                <w:i w:val="0"/>
                <w:iCs w:val="0"/>
                <w:color w:val="auto"/>
                <w:sz w:val="18"/>
                <w:szCs w:val="18"/>
                <w:u w:val="none"/>
              </w:rPr>
            </w:pPr>
          </w:p>
        </w:tc>
        <w:tc>
          <w:tcPr>
            <w:tcW w:w="975" w:type="dxa"/>
            <w:vMerge w:val="continue"/>
            <w:tcBorders>
              <w:left w:val="single" w:color="000000" w:sz="4" w:space="0"/>
              <w:bottom w:val="single" w:color="000000" w:sz="4" w:space="0"/>
              <w:right w:val="single" w:color="000000" w:sz="4" w:space="0"/>
            </w:tcBorders>
            <w:shd w:val="clear" w:color="auto" w:fill="auto"/>
            <w:vAlign w:val="center"/>
          </w:tcPr>
          <w:p w14:paraId="0694B29A">
            <w:pPr>
              <w:jc w:val="center"/>
              <w:rPr>
                <w:rFonts w:hint="eastAsia" w:ascii="宋体" w:hAnsi="宋体" w:eastAsia="宋体" w:cs="宋体"/>
                <w:i w:val="0"/>
                <w:iCs w:val="0"/>
                <w:color w:val="auto"/>
                <w:sz w:val="18"/>
                <w:szCs w:val="18"/>
                <w:u w:val="none"/>
              </w:rPr>
            </w:pPr>
          </w:p>
        </w:tc>
        <w:tc>
          <w:tcPr>
            <w:tcW w:w="15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3C07A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商务文化活动</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7AF66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453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①</w:t>
            </w:r>
            <w:r>
              <w:rPr>
                <w:rFonts w:hint="eastAsia" w:ascii="宋体" w:hAnsi="宋体" w:eastAsia="宋体" w:cs="宋体"/>
                <w:i w:val="0"/>
                <w:iCs w:val="0"/>
                <w:color w:val="auto"/>
                <w:kern w:val="0"/>
                <w:sz w:val="18"/>
                <w:szCs w:val="18"/>
                <w:u w:val="none"/>
                <w:lang w:val="en-US" w:eastAsia="zh-CN" w:bidi="ar"/>
              </w:rPr>
              <w:t>宜根据产业园区管理方、客户需求，组织开展产业园区商务活动，包括但不限于：建立企业家俱乐部；举办产业园区峰会；举办贸易、商业促销等宣传活动；举办技术、管理等方面的学术交流、培训活动等</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1E7F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查验活动开展记录</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E78B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每开展1次加1分，最高10分</w:t>
            </w:r>
          </w:p>
        </w:tc>
      </w:tr>
      <w:tr w14:paraId="7B3E9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972" w:type="dxa"/>
            <w:vMerge w:val="restart"/>
            <w:tcBorders>
              <w:top w:val="single" w:color="000000" w:sz="4" w:space="0"/>
              <w:left w:val="single" w:color="000000" w:sz="4" w:space="0"/>
              <w:right w:val="single" w:color="000000" w:sz="4" w:space="0"/>
            </w:tcBorders>
            <w:shd w:val="clear" w:color="auto" w:fill="auto"/>
            <w:noWrap/>
            <w:vAlign w:val="center"/>
          </w:tcPr>
          <w:p w14:paraId="2EA49ED1">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服务过程（600分，不含延伸服务10分）</w:t>
            </w:r>
          </w:p>
        </w:tc>
        <w:tc>
          <w:tcPr>
            <w:tcW w:w="975" w:type="dxa"/>
            <w:vMerge w:val="restart"/>
            <w:tcBorders>
              <w:top w:val="single" w:color="000000" w:sz="4" w:space="0"/>
              <w:left w:val="single" w:color="000000" w:sz="4" w:space="0"/>
              <w:right w:val="single" w:color="000000" w:sz="4" w:space="0"/>
            </w:tcBorders>
            <w:shd w:val="clear" w:color="auto" w:fill="auto"/>
            <w:vAlign w:val="center"/>
          </w:tcPr>
          <w:p w14:paraId="1AA3E709">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客户服务（98分）</w:t>
            </w:r>
          </w:p>
        </w:tc>
        <w:tc>
          <w:tcPr>
            <w:tcW w:w="15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B4886">
            <w:pPr>
              <w:jc w:val="center"/>
              <w:rPr>
                <w:rFonts w:hint="eastAsia" w:ascii="宋体" w:hAnsi="宋体" w:eastAsia="宋体" w:cs="宋体"/>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939A9">
            <w:pPr>
              <w:jc w:val="center"/>
              <w:rPr>
                <w:rFonts w:hint="eastAsia" w:ascii="宋体" w:hAnsi="宋体" w:eastAsia="宋体" w:cs="宋体"/>
                <w:i w:val="0"/>
                <w:iCs w:val="0"/>
                <w:color w:val="auto"/>
                <w:sz w:val="18"/>
                <w:szCs w:val="18"/>
                <w:u w:val="none"/>
              </w:rPr>
            </w:pP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485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②宜根据产业园区管理方和客户需求，组织开展产业园区文化活动，包括但不限于：举办传统节日民俗节庆活动；举办艺术类文化活动；举办休闲娱乐活动活动规模及频次符合服务约定，有活动记录</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DF0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重点查看活动规模及频次是否符合服务约定，活动记录是否齐全、规范</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889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有相关文件记录的，依据符合要求的程度、活动频次：≥6次/年，得10分；≥4次/年，得8分；≥2次/年，得6分；无相关文件，得0分</w:t>
            </w:r>
          </w:p>
        </w:tc>
      </w:tr>
      <w:tr w14:paraId="02A21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72" w:type="dxa"/>
            <w:vMerge w:val="continue"/>
            <w:tcBorders>
              <w:left w:val="single" w:color="000000" w:sz="4" w:space="0"/>
              <w:right w:val="single" w:color="000000" w:sz="4" w:space="0"/>
            </w:tcBorders>
            <w:shd w:val="clear" w:color="auto" w:fill="auto"/>
            <w:noWrap/>
            <w:vAlign w:val="center"/>
          </w:tcPr>
          <w:p w14:paraId="04854B76">
            <w:pPr>
              <w:jc w:val="both"/>
              <w:rPr>
                <w:rFonts w:hint="eastAsia" w:ascii="宋体" w:hAnsi="宋体" w:eastAsia="宋体" w:cs="宋体"/>
                <w:i w:val="0"/>
                <w:iCs w:val="0"/>
                <w:color w:val="auto"/>
                <w:sz w:val="18"/>
                <w:szCs w:val="18"/>
                <w:u w:val="none"/>
              </w:rPr>
            </w:pPr>
          </w:p>
        </w:tc>
        <w:tc>
          <w:tcPr>
            <w:tcW w:w="975" w:type="dxa"/>
            <w:vMerge w:val="continue"/>
            <w:tcBorders>
              <w:left w:val="single" w:color="000000" w:sz="4" w:space="0"/>
              <w:bottom w:val="single" w:color="000000" w:sz="4" w:space="0"/>
              <w:right w:val="single" w:color="000000" w:sz="4" w:space="0"/>
            </w:tcBorders>
            <w:shd w:val="clear" w:color="auto" w:fill="auto"/>
            <w:vAlign w:val="center"/>
          </w:tcPr>
          <w:p w14:paraId="1D9E96EC">
            <w:pPr>
              <w:jc w:val="center"/>
              <w:rPr>
                <w:rFonts w:hint="eastAsia" w:ascii="宋体" w:hAnsi="宋体" w:eastAsia="宋体" w:cs="宋体"/>
                <w:i w:val="0"/>
                <w:iCs w:val="0"/>
                <w:color w:val="auto"/>
                <w:sz w:val="18"/>
                <w:szCs w:val="18"/>
                <w:u w:val="none"/>
              </w:rPr>
            </w:pP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62579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园区便民服务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EC8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8C4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根据园区特点、客户构成等制定便民服务措施，包括但不限于：园区接驳车辆、雨伞借用、推车借用等便民配置</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CDD5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查看现场提供的便民（无偿）服务情况</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19B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依据现场便民服务的种类及实际情况，每一项得2分，最高得10分</w:t>
            </w:r>
          </w:p>
        </w:tc>
      </w:tr>
      <w:tr w14:paraId="6985D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972" w:type="dxa"/>
            <w:vMerge w:val="continue"/>
            <w:tcBorders>
              <w:left w:val="single" w:color="000000" w:sz="4" w:space="0"/>
              <w:right w:val="single" w:color="000000" w:sz="4" w:space="0"/>
            </w:tcBorders>
            <w:shd w:val="clear" w:color="auto" w:fill="auto"/>
            <w:noWrap/>
            <w:vAlign w:val="center"/>
          </w:tcPr>
          <w:p w14:paraId="14AA9500">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p>
        </w:tc>
        <w:tc>
          <w:tcPr>
            <w:tcW w:w="975" w:type="dxa"/>
            <w:vMerge w:val="restart"/>
            <w:tcBorders>
              <w:top w:val="single" w:color="000000" w:sz="4" w:space="0"/>
              <w:left w:val="single" w:color="000000" w:sz="4" w:space="0"/>
              <w:right w:val="single" w:color="000000" w:sz="4" w:space="0"/>
            </w:tcBorders>
            <w:shd w:val="clear" w:color="auto" w:fill="auto"/>
            <w:vAlign w:val="center"/>
          </w:tcPr>
          <w:p w14:paraId="1609589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房屋及设施设备管理（186分）</w:t>
            </w:r>
          </w:p>
        </w:tc>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458ED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房屋管理（20分）</w:t>
            </w: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E9F6A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房屋本体管理</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6BCE9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AE2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①建立房屋建筑及附属设施台账，内容包含但不限于：类型、名称、面积（或数量）、层高及材料、竣工时间、附属设施设置及检测报告、技术图纸文件、使用保修文件等，定期核对，更新台账</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8FEAF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查验资料，重点查验记录的完整性，与实际运行是否相符</w:t>
            </w:r>
          </w:p>
        </w:tc>
        <w:tc>
          <w:tcPr>
            <w:tcW w:w="33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C73D2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有相关文件的，依据符合要求的程度得0～20分，每发现一处不符合扣1分，扣完为止；无相关文件的，得0分</w:t>
            </w:r>
          </w:p>
        </w:tc>
      </w:tr>
      <w:tr w14:paraId="684C0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72" w:type="dxa"/>
            <w:vMerge w:val="continue"/>
            <w:tcBorders>
              <w:left w:val="single" w:color="000000" w:sz="4" w:space="0"/>
              <w:right w:val="single" w:color="000000" w:sz="4" w:space="0"/>
            </w:tcBorders>
            <w:shd w:val="clear" w:color="auto" w:fill="auto"/>
            <w:noWrap/>
            <w:vAlign w:val="center"/>
          </w:tcPr>
          <w:p w14:paraId="47A4347F">
            <w:pPr>
              <w:jc w:val="both"/>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76338DD5">
            <w:pPr>
              <w:jc w:val="center"/>
              <w:rPr>
                <w:rFonts w:hint="eastAsia" w:ascii="宋体" w:hAnsi="宋体" w:eastAsia="宋体" w:cs="宋体"/>
                <w:i w:val="0"/>
                <w:iCs w:val="0"/>
                <w:color w:val="auto"/>
                <w:sz w:val="18"/>
                <w:szCs w:val="18"/>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03FB9">
            <w:pPr>
              <w:jc w:val="center"/>
              <w:rPr>
                <w:rFonts w:hint="eastAsia" w:ascii="宋体" w:hAnsi="宋体" w:eastAsia="宋体" w:cs="宋体"/>
                <w:i w:val="0"/>
                <w:iCs w:val="0"/>
                <w:color w:val="auto"/>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60DA5">
            <w:pPr>
              <w:jc w:val="center"/>
              <w:rPr>
                <w:rFonts w:hint="eastAsia" w:ascii="宋体" w:hAnsi="宋体" w:eastAsia="宋体" w:cs="宋体"/>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5260F">
            <w:pPr>
              <w:jc w:val="center"/>
              <w:rPr>
                <w:rFonts w:hint="eastAsia" w:ascii="宋体" w:hAnsi="宋体" w:eastAsia="宋体" w:cs="宋体"/>
                <w:i w:val="0"/>
                <w:iCs w:val="0"/>
                <w:color w:val="auto"/>
                <w:sz w:val="18"/>
                <w:szCs w:val="18"/>
                <w:u w:val="none"/>
              </w:rPr>
            </w:pP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66A3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②应定期巡查，及时维护保养，发现房屋安全隐患，应书面报告相关方，并配合处置</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5C0D3">
            <w:pPr>
              <w:jc w:val="left"/>
              <w:rPr>
                <w:rFonts w:hint="eastAsia" w:ascii="宋体" w:hAnsi="宋体" w:eastAsia="宋体" w:cs="宋体"/>
                <w:i w:val="0"/>
                <w:iCs w:val="0"/>
                <w:color w:val="auto"/>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9F9B5">
            <w:pPr>
              <w:jc w:val="left"/>
              <w:rPr>
                <w:rFonts w:hint="eastAsia" w:ascii="宋体" w:hAnsi="宋体" w:eastAsia="宋体" w:cs="宋体"/>
                <w:i w:val="0"/>
                <w:iCs w:val="0"/>
                <w:color w:val="auto"/>
                <w:sz w:val="18"/>
                <w:szCs w:val="18"/>
                <w:u w:val="none"/>
              </w:rPr>
            </w:pPr>
          </w:p>
        </w:tc>
      </w:tr>
      <w:tr w14:paraId="3441D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72" w:type="dxa"/>
            <w:vMerge w:val="continue"/>
            <w:tcBorders>
              <w:left w:val="single" w:color="000000" w:sz="4" w:space="0"/>
              <w:right w:val="single" w:color="000000" w:sz="4" w:space="0"/>
            </w:tcBorders>
            <w:shd w:val="clear" w:color="auto" w:fill="auto"/>
            <w:noWrap/>
            <w:vAlign w:val="center"/>
          </w:tcPr>
          <w:p w14:paraId="5908ADAF">
            <w:pPr>
              <w:jc w:val="both"/>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72633A3E">
            <w:pPr>
              <w:jc w:val="center"/>
              <w:rPr>
                <w:rFonts w:hint="eastAsia" w:ascii="宋体" w:hAnsi="宋体" w:eastAsia="宋体" w:cs="宋体"/>
                <w:i w:val="0"/>
                <w:iCs w:val="0"/>
                <w:color w:val="auto"/>
                <w:sz w:val="18"/>
                <w:szCs w:val="18"/>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95715">
            <w:pPr>
              <w:jc w:val="center"/>
              <w:rPr>
                <w:rFonts w:hint="eastAsia" w:ascii="宋体" w:hAnsi="宋体" w:eastAsia="宋体" w:cs="宋体"/>
                <w:i w:val="0"/>
                <w:iCs w:val="0"/>
                <w:color w:val="auto"/>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1C5DC">
            <w:pPr>
              <w:jc w:val="center"/>
              <w:rPr>
                <w:rFonts w:hint="eastAsia" w:ascii="宋体" w:hAnsi="宋体" w:eastAsia="宋体" w:cs="宋体"/>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543F1">
            <w:pPr>
              <w:jc w:val="center"/>
              <w:rPr>
                <w:rFonts w:hint="eastAsia" w:ascii="宋体" w:hAnsi="宋体" w:eastAsia="宋体" w:cs="宋体"/>
                <w:i w:val="0"/>
                <w:iCs w:val="0"/>
                <w:color w:val="auto"/>
                <w:sz w:val="18"/>
                <w:szCs w:val="18"/>
                <w:u w:val="none"/>
              </w:rPr>
            </w:pP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0D68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③无违反规划私搭乱建，无擅自改变房屋用途的情况</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5CB77">
            <w:pPr>
              <w:jc w:val="left"/>
              <w:rPr>
                <w:rFonts w:hint="eastAsia" w:ascii="宋体" w:hAnsi="宋体" w:eastAsia="宋体" w:cs="宋体"/>
                <w:i w:val="0"/>
                <w:iCs w:val="0"/>
                <w:color w:val="auto"/>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8A142">
            <w:pPr>
              <w:jc w:val="left"/>
              <w:rPr>
                <w:rFonts w:hint="eastAsia" w:ascii="宋体" w:hAnsi="宋体" w:eastAsia="宋体" w:cs="宋体"/>
                <w:i w:val="0"/>
                <w:iCs w:val="0"/>
                <w:color w:val="auto"/>
                <w:sz w:val="18"/>
                <w:szCs w:val="18"/>
                <w:u w:val="none"/>
              </w:rPr>
            </w:pPr>
          </w:p>
        </w:tc>
      </w:tr>
      <w:tr w14:paraId="2B77D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72" w:type="dxa"/>
            <w:vMerge w:val="continue"/>
            <w:tcBorders>
              <w:left w:val="single" w:color="000000" w:sz="4" w:space="0"/>
              <w:right w:val="single" w:color="000000" w:sz="4" w:space="0"/>
            </w:tcBorders>
            <w:shd w:val="clear" w:color="auto" w:fill="auto"/>
            <w:noWrap/>
            <w:vAlign w:val="center"/>
          </w:tcPr>
          <w:p w14:paraId="0AC96BEA">
            <w:pPr>
              <w:jc w:val="both"/>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33D6FB3B">
            <w:pPr>
              <w:jc w:val="center"/>
              <w:rPr>
                <w:rFonts w:hint="eastAsia" w:ascii="宋体" w:hAnsi="宋体" w:eastAsia="宋体" w:cs="宋体"/>
                <w:i w:val="0"/>
                <w:iCs w:val="0"/>
                <w:color w:val="auto"/>
                <w:sz w:val="18"/>
                <w:szCs w:val="18"/>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3DD66">
            <w:pPr>
              <w:jc w:val="center"/>
              <w:rPr>
                <w:rFonts w:hint="eastAsia" w:ascii="宋体" w:hAnsi="宋体" w:eastAsia="宋体" w:cs="宋体"/>
                <w:i w:val="0"/>
                <w:iCs w:val="0"/>
                <w:color w:val="auto"/>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5C995">
            <w:pPr>
              <w:jc w:val="center"/>
              <w:rPr>
                <w:rFonts w:hint="eastAsia" w:ascii="宋体" w:hAnsi="宋体" w:eastAsia="宋体" w:cs="宋体"/>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278C4">
            <w:pPr>
              <w:jc w:val="center"/>
              <w:rPr>
                <w:rFonts w:hint="eastAsia" w:ascii="宋体" w:hAnsi="宋体" w:eastAsia="宋体" w:cs="宋体"/>
                <w:i w:val="0"/>
                <w:iCs w:val="0"/>
                <w:color w:val="auto"/>
                <w:sz w:val="18"/>
                <w:szCs w:val="18"/>
                <w:u w:val="none"/>
              </w:rPr>
            </w:pP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548E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④出现破损或安全隐患时，及时联系相关单位处理，同时做好必要的防护措施</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EBCF1">
            <w:pPr>
              <w:jc w:val="left"/>
              <w:rPr>
                <w:rFonts w:hint="eastAsia" w:ascii="宋体" w:hAnsi="宋体" w:eastAsia="宋体" w:cs="宋体"/>
                <w:i w:val="0"/>
                <w:iCs w:val="0"/>
                <w:color w:val="auto"/>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8937B">
            <w:pPr>
              <w:jc w:val="left"/>
              <w:rPr>
                <w:rFonts w:hint="eastAsia" w:ascii="宋体" w:hAnsi="宋体" w:eastAsia="宋体" w:cs="宋体"/>
                <w:i w:val="0"/>
                <w:iCs w:val="0"/>
                <w:color w:val="auto"/>
                <w:sz w:val="18"/>
                <w:szCs w:val="18"/>
                <w:u w:val="none"/>
              </w:rPr>
            </w:pPr>
          </w:p>
        </w:tc>
      </w:tr>
      <w:tr w14:paraId="3A7AD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2" w:type="dxa"/>
            <w:vMerge w:val="continue"/>
            <w:tcBorders>
              <w:left w:val="single" w:color="000000" w:sz="4" w:space="0"/>
              <w:right w:val="single" w:color="000000" w:sz="4" w:space="0"/>
            </w:tcBorders>
            <w:shd w:val="clear" w:color="auto" w:fill="auto"/>
            <w:noWrap/>
            <w:vAlign w:val="center"/>
          </w:tcPr>
          <w:p w14:paraId="69991625">
            <w:pPr>
              <w:jc w:val="both"/>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36FD4C5E">
            <w:pPr>
              <w:jc w:val="center"/>
              <w:rPr>
                <w:rFonts w:hint="eastAsia" w:ascii="宋体" w:hAnsi="宋体" w:eastAsia="宋体" w:cs="宋体"/>
                <w:i w:val="0"/>
                <w:iCs w:val="0"/>
                <w:color w:val="auto"/>
                <w:sz w:val="18"/>
                <w:szCs w:val="18"/>
                <w:u w:val="none"/>
              </w:rPr>
            </w:pPr>
          </w:p>
        </w:tc>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580C0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公共设施管理（25分）</w:t>
            </w: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7F30C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设备机房管理</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C909A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F4D6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①设备机房门口应有机房类别及安全标识</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30FFF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现场查证+查验资料，重点查验标识、记录、设施的完整及完好性</w:t>
            </w:r>
          </w:p>
        </w:tc>
        <w:tc>
          <w:tcPr>
            <w:tcW w:w="33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8B9E5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有相关文件的，依据符合要求的程度得0～15分，每发现一处不符合扣1分，扣完为止；无相关文件的，得0分</w:t>
            </w:r>
          </w:p>
        </w:tc>
      </w:tr>
      <w:tr w14:paraId="73129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72" w:type="dxa"/>
            <w:vMerge w:val="continue"/>
            <w:tcBorders>
              <w:left w:val="single" w:color="000000" w:sz="4" w:space="0"/>
              <w:right w:val="single" w:color="000000" w:sz="4" w:space="0"/>
            </w:tcBorders>
            <w:shd w:val="clear" w:color="auto" w:fill="auto"/>
            <w:noWrap/>
            <w:vAlign w:val="center"/>
          </w:tcPr>
          <w:p w14:paraId="0F684EFA">
            <w:pPr>
              <w:jc w:val="both"/>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4AF013A0">
            <w:pPr>
              <w:jc w:val="center"/>
              <w:rPr>
                <w:rFonts w:hint="eastAsia" w:ascii="宋体" w:hAnsi="宋体" w:eastAsia="宋体" w:cs="宋体"/>
                <w:i w:val="0"/>
                <w:iCs w:val="0"/>
                <w:color w:val="auto"/>
                <w:sz w:val="18"/>
                <w:szCs w:val="18"/>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FB416">
            <w:pPr>
              <w:jc w:val="center"/>
              <w:rPr>
                <w:rFonts w:hint="eastAsia" w:ascii="宋体" w:hAnsi="宋体" w:eastAsia="宋体" w:cs="宋体"/>
                <w:i w:val="0"/>
                <w:iCs w:val="0"/>
                <w:color w:val="auto"/>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07631">
            <w:pPr>
              <w:jc w:val="center"/>
              <w:rPr>
                <w:rFonts w:hint="eastAsia" w:ascii="宋体" w:hAnsi="宋体" w:eastAsia="宋体" w:cs="宋体"/>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4E4E0">
            <w:pPr>
              <w:jc w:val="center"/>
              <w:rPr>
                <w:rFonts w:hint="eastAsia" w:ascii="宋体" w:hAnsi="宋体" w:eastAsia="宋体" w:cs="宋体"/>
                <w:i w:val="0"/>
                <w:iCs w:val="0"/>
                <w:color w:val="auto"/>
                <w:sz w:val="18"/>
                <w:szCs w:val="18"/>
                <w:u w:val="none"/>
              </w:rPr>
            </w:pP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BB25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②设备机房门窗、锁具应完好，环境整洁，无杂物、无积尘、无鼠、无虫害，温湿度应符合设备运行要求</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0E548">
            <w:pPr>
              <w:jc w:val="left"/>
              <w:rPr>
                <w:rFonts w:hint="eastAsia" w:ascii="宋体" w:hAnsi="宋体" w:eastAsia="宋体" w:cs="宋体"/>
                <w:i w:val="0"/>
                <w:iCs w:val="0"/>
                <w:color w:val="auto"/>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7531C">
            <w:pPr>
              <w:jc w:val="left"/>
              <w:rPr>
                <w:rFonts w:hint="eastAsia" w:ascii="宋体" w:hAnsi="宋体" w:eastAsia="宋体" w:cs="宋体"/>
                <w:i w:val="0"/>
                <w:iCs w:val="0"/>
                <w:color w:val="auto"/>
                <w:sz w:val="18"/>
                <w:szCs w:val="18"/>
                <w:u w:val="none"/>
              </w:rPr>
            </w:pPr>
          </w:p>
        </w:tc>
      </w:tr>
      <w:tr w14:paraId="53399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72" w:type="dxa"/>
            <w:vMerge w:val="continue"/>
            <w:tcBorders>
              <w:left w:val="single" w:color="000000" w:sz="4" w:space="0"/>
              <w:right w:val="single" w:color="000000" w:sz="4" w:space="0"/>
            </w:tcBorders>
            <w:shd w:val="clear" w:color="auto" w:fill="auto"/>
            <w:noWrap/>
            <w:vAlign w:val="center"/>
          </w:tcPr>
          <w:p w14:paraId="08C072C1">
            <w:pPr>
              <w:jc w:val="both"/>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21810C6C">
            <w:pPr>
              <w:jc w:val="center"/>
              <w:rPr>
                <w:rFonts w:hint="eastAsia" w:ascii="宋体" w:hAnsi="宋体" w:eastAsia="宋体" w:cs="宋体"/>
                <w:i w:val="0"/>
                <w:iCs w:val="0"/>
                <w:color w:val="auto"/>
                <w:sz w:val="18"/>
                <w:szCs w:val="18"/>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32EDB">
            <w:pPr>
              <w:jc w:val="center"/>
              <w:rPr>
                <w:rFonts w:hint="eastAsia" w:ascii="宋体" w:hAnsi="宋体" w:eastAsia="宋体" w:cs="宋体"/>
                <w:i w:val="0"/>
                <w:iCs w:val="0"/>
                <w:color w:val="auto"/>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98CB3">
            <w:pPr>
              <w:jc w:val="center"/>
              <w:rPr>
                <w:rFonts w:hint="eastAsia" w:ascii="宋体" w:hAnsi="宋体" w:eastAsia="宋体" w:cs="宋体"/>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8693E">
            <w:pPr>
              <w:jc w:val="center"/>
              <w:rPr>
                <w:rFonts w:hint="eastAsia" w:ascii="宋体" w:hAnsi="宋体" w:eastAsia="宋体" w:cs="宋体"/>
                <w:i w:val="0"/>
                <w:iCs w:val="0"/>
                <w:color w:val="auto"/>
                <w:sz w:val="18"/>
                <w:szCs w:val="18"/>
                <w:u w:val="none"/>
              </w:rPr>
            </w:pP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650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③设备机房内应按规定配置消防、通风、应急照明、挡鼠板等设施</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4EFB2">
            <w:pPr>
              <w:jc w:val="left"/>
              <w:rPr>
                <w:rFonts w:hint="eastAsia" w:ascii="宋体" w:hAnsi="宋体" w:eastAsia="宋体" w:cs="宋体"/>
                <w:i w:val="0"/>
                <w:iCs w:val="0"/>
                <w:color w:val="auto"/>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A0073">
            <w:pPr>
              <w:jc w:val="left"/>
              <w:rPr>
                <w:rFonts w:hint="eastAsia" w:ascii="宋体" w:hAnsi="宋体" w:eastAsia="宋体" w:cs="宋体"/>
                <w:i w:val="0"/>
                <w:iCs w:val="0"/>
                <w:color w:val="auto"/>
                <w:sz w:val="18"/>
                <w:szCs w:val="18"/>
                <w:u w:val="none"/>
              </w:rPr>
            </w:pPr>
          </w:p>
        </w:tc>
      </w:tr>
      <w:tr w14:paraId="31BB5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2" w:type="dxa"/>
            <w:vMerge w:val="continue"/>
            <w:tcBorders>
              <w:left w:val="single" w:color="000000" w:sz="4" w:space="0"/>
              <w:right w:val="single" w:color="000000" w:sz="4" w:space="0"/>
            </w:tcBorders>
            <w:shd w:val="clear" w:color="auto" w:fill="auto"/>
            <w:noWrap/>
            <w:vAlign w:val="center"/>
          </w:tcPr>
          <w:p w14:paraId="602F80C4">
            <w:pPr>
              <w:jc w:val="both"/>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139CF7F8">
            <w:pPr>
              <w:jc w:val="center"/>
              <w:rPr>
                <w:rFonts w:hint="eastAsia" w:ascii="宋体" w:hAnsi="宋体" w:eastAsia="宋体" w:cs="宋体"/>
                <w:i w:val="0"/>
                <w:iCs w:val="0"/>
                <w:color w:val="auto"/>
                <w:sz w:val="18"/>
                <w:szCs w:val="18"/>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0CB0A">
            <w:pPr>
              <w:jc w:val="center"/>
              <w:rPr>
                <w:rFonts w:hint="eastAsia" w:ascii="宋体" w:hAnsi="宋体" w:eastAsia="宋体" w:cs="宋体"/>
                <w:i w:val="0"/>
                <w:iCs w:val="0"/>
                <w:color w:val="auto"/>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39895">
            <w:pPr>
              <w:jc w:val="center"/>
              <w:rPr>
                <w:rFonts w:hint="eastAsia" w:ascii="宋体" w:hAnsi="宋体" w:eastAsia="宋体" w:cs="宋体"/>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D709F">
            <w:pPr>
              <w:jc w:val="center"/>
              <w:rPr>
                <w:rFonts w:hint="eastAsia" w:ascii="宋体" w:hAnsi="宋体" w:eastAsia="宋体" w:cs="宋体"/>
                <w:i w:val="0"/>
                <w:iCs w:val="0"/>
                <w:color w:val="auto"/>
                <w:sz w:val="18"/>
                <w:szCs w:val="18"/>
                <w:u w:val="none"/>
              </w:rPr>
            </w:pP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369B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④安全防护用具配置应齐全，检验合格</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483C9">
            <w:pPr>
              <w:jc w:val="left"/>
              <w:rPr>
                <w:rFonts w:hint="eastAsia" w:ascii="宋体" w:hAnsi="宋体" w:eastAsia="宋体" w:cs="宋体"/>
                <w:i w:val="0"/>
                <w:iCs w:val="0"/>
                <w:color w:val="auto"/>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B62B1">
            <w:pPr>
              <w:jc w:val="left"/>
              <w:rPr>
                <w:rFonts w:hint="eastAsia" w:ascii="宋体" w:hAnsi="宋体" w:eastAsia="宋体" w:cs="宋体"/>
                <w:i w:val="0"/>
                <w:iCs w:val="0"/>
                <w:color w:val="auto"/>
                <w:sz w:val="18"/>
                <w:szCs w:val="18"/>
                <w:u w:val="none"/>
              </w:rPr>
            </w:pPr>
          </w:p>
        </w:tc>
      </w:tr>
      <w:tr w14:paraId="2A4BD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72" w:type="dxa"/>
            <w:vMerge w:val="continue"/>
            <w:tcBorders>
              <w:left w:val="single" w:color="000000" w:sz="4" w:space="0"/>
              <w:right w:val="single" w:color="000000" w:sz="4" w:space="0"/>
            </w:tcBorders>
            <w:shd w:val="clear" w:color="auto" w:fill="auto"/>
            <w:noWrap/>
            <w:vAlign w:val="center"/>
          </w:tcPr>
          <w:p w14:paraId="7CFB9511">
            <w:pPr>
              <w:jc w:val="both"/>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0513C331">
            <w:pPr>
              <w:jc w:val="center"/>
              <w:rPr>
                <w:rFonts w:hint="eastAsia" w:ascii="宋体" w:hAnsi="宋体" w:eastAsia="宋体" w:cs="宋体"/>
                <w:i w:val="0"/>
                <w:iCs w:val="0"/>
                <w:color w:val="auto"/>
                <w:sz w:val="18"/>
                <w:szCs w:val="18"/>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B5CFC">
            <w:pPr>
              <w:jc w:val="center"/>
              <w:rPr>
                <w:rFonts w:hint="eastAsia" w:ascii="宋体" w:hAnsi="宋体" w:eastAsia="宋体" w:cs="宋体"/>
                <w:i w:val="0"/>
                <w:iCs w:val="0"/>
                <w:color w:val="auto"/>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EFAD4">
            <w:pPr>
              <w:jc w:val="center"/>
              <w:rPr>
                <w:rFonts w:hint="eastAsia" w:ascii="宋体" w:hAnsi="宋体" w:eastAsia="宋体" w:cs="宋体"/>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D839E">
            <w:pPr>
              <w:jc w:val="center"/>
              <w:rPr>
                <w:rFonts w:hint="eastAsia" w:ascii="宋体" w:hAnsi="宋体" w:eastAsia="宋体" w:cs="宋体"/>
                <w:i w:val="0"/>
                <w:iCs w:val="0"/>
                <w:color w:val="auto"/>
                <w:sz w:val="18"/>
                <w:szCs w:val="18"/>
                <w:u w:val="none"/>
              </w:rPr>
            </w:pP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6D54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⑤应急设施设备用品应齐全、完好，可随时启用</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DA8FE">
            <w:pPr>
              <w:jc w:val="left"/>
              <w:rPr>
                <w:rFonts w:hint="eastAsia" w:ascii="宋体" w:hAnsi="宋体" w:eastAsia="宋体" w:cs="宋体"/>
                <w:i w:val="0"/>
                <w:iCs w:val="0"/>
                <w:color w:val="auto"/>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03394">
            <w:pPr>
              <w:jc w:val="left"/>
              <w:rPr>
                <w:rFonts w:hint="eastAsia" w:ascii="宋体" w:hAnsi="宋体" w:eastAsia="宋体" w:cs="宋体"/>
                <w:i w:val="0"/>
                <w:iCs w:val="0"/>
                <w:color w:val="auto"/>
                <w:sz w:val="18"/>
                <w:szCs w:val="18"/>
                <w:u w:val="none"/>
              </w:rPr>
            </w:pPr>
          </w:p>
        </w:tc>
      </w:tr>
      <w:tr w14:paraId="31F35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2" w:type="dxa"/>
            <w:vMerge w:val="continue"/>
            <w:tcBorders>
              <w:left w:val="single" w:color="000000" w:sz="4" w:space="0"/>
              <w:right w:val="single" w:color="000000" w:sz="4" w:space="0"/>
            </w:tcBorders>
            <w:shd w:val="clear" w:color="auto" w:fill="auto"/>
            <w:noWrap/>
            <w:vAlign w:val="center"/>
          </w:tcPr>
          <w:p w14:paraId="75B679B5">
            <w:pPr>
              <w:jc w:val="both"/>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7902F594">
            <w:pPr>
              <w:jc w:val="center"/>
              <w:rPr>
                <w:rFonts w:hint="eastAsia" w:ascii="宋体" w:hAnsi="宋体" w:eastAsia="宋体" w:cs="宋体"/>
                <w:i w:val="0"/>
                <w:iCs w:val="0"/>
                <w:color w:val="auto"/>
                <w:sz w:val="18"/>
                <w:szCs w:val="18"/>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FAAB1">
            <w:pPr>
              <w:jc w:val="center"/>
              <w:rPr>
                <w:rFonts w:hint="eastAsia" w:ascii="宋体" w:hAnsi="宋体" w:eastAsia="宋体" w:cs="宋体"/>
                <w:i w:val="0"/>
                <w:iCs w:val="0"/>
                <w:color w:val="auto"/>
                <w:sz w:val="18"/>
                <w:szCs w:val="18"/>
                <w:u w:val="none"/>
              </w:rPr>
            </w:pP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5DDD8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公共照明管理</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551AA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E19F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①公共照明应定时开启、按季调整</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2EA7D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现场查证+查验资料，重点查验标识、记录、设施的完整及完好性</w:t>
            </w:r>
          </w:p>
        </w:tc>
        <w:tc>
          <w:tcPr>
            <w:tcW w:w="33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97D8A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有相关文件的，依据符合要求的程度得0～10分，每发现一处不符合扣1分，扣完为止；无相关文件的，得0分</w:t>
            </w:r>
          </w:p>
        </w:tc>
      </w:tr>
      <w:tr w14:paraId="1BFCE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2" w:type="dxa"/>
            <w:vMerge w:val="continue"/>
            <w:tcBorders>
              <w:left w:val="single" w:color="000000" w:sz="4" w:space="0"/>
              <w:right w:val="single" w:color="000000" w:sz="4" w:space="0"/>
            </w:tcBorders>
            <w:shd w:val="clear" w:color="auto" w:fill="auto"/>
            <w:noWrap/>
            <w:vAlign w:val="center"/>
          </w:tcPr>
          <w:p w14:paraId="789ACD6B">
            <w:pPr>
              <w:jc w:val="both"/>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5F5815EC">
            <w:pPr>
              <w:jc w:val="center"/>
              <w:rPr>
                <w:rFonts w:hint="eastAsia" w:ascii="宋体" w:hAnsi="宋体" w:eastAsia="宋体" w:cs="宋体"/>
                <w:i w:val="0"/>
                <w:iCs w:val="0"/>
                <w:color w:val="auto"/>
                <w:sz w:val="18"/>
                <w:szCs w:val="18"/>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68538">
            <w:pPr>
              <w:jc w:val="center"/>
              <w:rPr>
                <w:rFonts w:hint="eastAsia" w:ascii="宋体" w:hAnsi="宋体" w:eastAsia="宋体" w:cs="宋体"/>
                <w:i w:val="0"/>
                <w:iCs w:val="0"/>
                <w:color w:val="auto"/>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DE324">
            <w:pPr>
              <w:jc w:val="center"/>
              <w:rPr>
                <w:rFonts w:hint="eastAsia" w:ascii="宋体" w:hAnsi="宋体" w:eastAsia="宋体" w:cs="宋体"/>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53EE4">
            <w:pPr>
              <w:jc w:val="center"/>
              <w:rPr>
                <w:rFonts w:hint="eastAsia" w:ascii="宋体" w:hAnsi="宋体" w:eastAsia="宋体" w:cs="宋体"/>
                <w:i w:val="0"/>
                <w:iCs w:val="0"/>
                <w:color w:val="auto"/>
                <w:sz w:val="18"/>
                <w:szCs w:val="18"/>
                <w:u w:val="none"/>
              </w:rPr>
            </w:pP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27C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②应定期巡查公共照明设施，保持齐全、完好</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43D88">
            <w:pPr>
              <w:jc w:val="left"/>
              <w:rPr>
                <w:rFonts w:hint="eastAsia" w:ascii="宋体" w:hAnsi="宋体" w:eastAsia="宋体" w:cs="宋体"/>
                <w:i w:val="0"/>
                <w:iCs w:val="0"/>
                <w:color w:val="auto"/>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79E23">
            <w:pPr>
              <w:jc w:val="left"/>
              <w:rPr>
                <w:rFonts w:hint="eastAsia" w:ascii="宋体" w:hAnsi="宋体" w:eastAsia="宋体" w:cs="宋体"/>
                <w:i w:val="0"/>
                <w:iCs w:val="0"/>
                <w:color w:val="auto"/>
                <w:sz w:val="18"/>
                <w:szCs w:val="18"/>
                <w:u w:val="none"/>
              </w:rPr>
            </w:pPr>
          </w:p>
        </w:tc>
      </w:tr>
      <w:tr w14:paraId="3E5DB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72" w:type="dxa"/>
            <w:vMerge w:val="continue"/>
            <w:tcBorders>
              <w:left w:val="single" w:color="000000" w:sz="4" w:space="0"/>
              <w:right w:val="single" w:color="000000" w:sz="4" w:space="0"/>
            </w:tcBorders>
            <w:shd w:val="clear" w:color="auto" w:fill="auto"/>
            <w:noWrap/>
            <w:vAlign w:val="center"/>
          </w:tcPr>
          <w:p w14:paraId="0AFA1825">
            <w:pPr>
              <w:jc w:val="both"/>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0BA7A5E0">
            <w:pPr>
              <w:jc w:val="center"/>
              <w:rPr>
                <w:rFonts w:hint="eastAsia" w:ascii="宋体" w:hAnsi="宋体" w:eastAsia="宋体" w:cs="宋体"/>
                <w:i w:val="0"/>
                <w:iCs w:val="0"/>
                <w:color w:val="auto"/>
                <w:sz w:val="18"/>
                <w:szCs w:val="18"/>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69571">
            <w:pPr>
              <w:jc w:val="center"/>
              <w:rPr>
                <w:rFonts w:hint="eastAsia" w:ascii="宋体" w:hAnsi="宋体" w:eastAsia="宋体" w:cs="宋体"/>
                <w:i w:val="0"/>
                <w:iCs w:val="0"/>
                <w:color w:val="auto"/>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4EE51">
            <w:pPr>
              <w:jc w:val="center"/>
              <w:rPr>
                <w:rFonts w:hint="eastAsia" w:ascii="宋体" w:hAnsi="宋体" w:eastAsia="宋体" w:cs="宋体"/>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2D5FF">
            <w:pPr>
              <w:jc w:val="center"/>
              <w:rPr>
                <w:rFonts w:hint="eastAsia" w:ascii="宋体" w:hAnsi="宋体" w:eastAsia="宋体" w:cs="宋体"/>
                <w:i w:val="0"/>
                <w:iCs w:val="0"/>
                <w:color w:val="auto"/>
                <w:sz w:val="18"/>
                <w:szCs w:val="18"/>
                <w:u w:val="none"/>
              </w:rPr>
            </w:pP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657D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③应定期对应急照明蓄电池充放电试验，保持其正常工作</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C7B7C">
            <w:pPr>
              <w:jc w:val="left"/>
              <w:rPr>
                <w:rFonts w:hint="eastAsia" w:ascii="宋体" w:hAnsi="宋体" w:eastAsia="宋体" w:cs="宋体"/>
                <w:i w:val="0"/>
                <w:iCs w:val="0"/>
                <w:color w:val="auto"/>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0F2CD">
            <w:pPr>
              <w:jc w:val="left"/>
              <w:rPr>
                <w:rFonts w:hint="eastAsia" w:ascii="宋体" w:hAnsi="宋体" w:eastAsia="宋体" w:cs="宋体"/>
                <w:i w:val="0"/>
                <w:iCs w:val="0"/>
                <w:color w:val="auto"/>
                <w:sz w:val="18"/>
                <w:szCs w:val="18"/>
                <w:u w:val="none"/>
              </w:rPr>
            </w:pPr>
          </w:p>
        </w:tc>
      </w:tr>
      <w:tr w14:paraId="27CD8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72" w:type="dxa"/>
            <w:vMerge w:val="continue"/>
            <w:tcBorders>
              <w:left w:val="single" w:color="000000" w:sz="4" w:space="0"/>
              <w:bottom w:val="single" w:color="000000" w:sz="4" w:space="0"/>
              <w:right w:val="single" w:color="000000" w:sz="4" w:space="0"/>
            </w:tcBorders>
            <w:shd w:val="clear" w:color="auto" w:fill="auto"/>
            <w:noWrap/>
            <w:vAlign w:val="center"/>
          </w:tcPr>
          <w:p w14:paraId="65C85DC5">
            <w:pPr>
              <w:jc w:val="both"/>
              <w:rPr>
                <w:rFonts w:hint="eastAsia" w:ascii="宋体" w:hAnsi="宋体" w:eastAsia="宋体" w:cs="宋体"/>
                <w:i w:val="0"/>
                <w:iCs w:val="0"/>
                <w:color w:val="auto"/>
                <w:sz w:val="18"/>
                <w:szCs w:val="18"/>
                <w:u w:val="none"/>
              </w:rPr>
            </w:pPr>
          </w:p>
        </w:tc>
        <w:tc>
          <w:tcPr>
            <w:tcW w:w="975" w:type="dxa"/>
            <w:vMerge w:val="continue"/>
            <w:tcBorders>
              <w:left w:val="single" w:color="000000" w:sz="4" w:space="0"/>
              <w:bottom w:val="single" w:color="000000" w:sz="4" w:space="0"/>
              <w:right w:val="single" w:color="000000" w:sz="4" w:space="0"/>
            </w:tcBorders>
            <w:shd w:val="clear" w:color="auto" w:fill="auto"/>
            <w:vAlign w:val="center"/>
          </w:tcPr>
          <w:p w14:paraId="39E416AB">
            <w:pPr>
              <w:jc w:val="center"/>
              <w:rPr>
                <w:rFonts w:hint="eastAsia" w:ascii="宋体" w:hAnsi="宋体" w:eastAsia="宋体" w:cs="宋体"/>
                <w:i w:val="0"/>
                <w:iCs w:val="0"/>
                <w:color w:val="auto"/>
                <w:sz w:val="18"/>
                <w:szCs w:val="18"/>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89D12">
            <w:pPr>
              <w:jc w:val="center"/>
              <w:rPr>
                <w:rFonts w:hint="eastAsia" w:ascii="宋体" w:hAnsi="宋体" w:eastAsia="宋体" w:cs="宋体"/>
                <w:i w:val="0"/>
                <w:iCs w:val="0"/>
                <w:color w:val="auto"/>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67B5C">
            <w:pPr>
              <w:jc w:val="center"/>
              <w:rPr>
                <w:rFonts w:hint="eastAsia" w:ascii="宋体" w:hAnsi="宋体" w:eastAsia="宋体" w:cs="宋体"/>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FC61B">
            <w:pPr>
              <w:jc w:val="center"/>
              <w:rPr>
                <w:rFonts w:hint="eastAsia" w:ascii="宋体" w:hAnsi="宋体" w:eastAsia="宋体" w:cs="宋体"/>
                <w:i w:val="0"/>
                <w:iCs w:val="0"/>
                <w:color w:val="auto"/>
                <w:sz w:val="18"/>
                <w:szCs w:val="18"/>
                <w:u w:val="none"/>
              </w:rPr>
            </w:pP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A149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④应定期巡检维护光彩设施，并根据季节调整启停时间</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5B6EC">
            <w:pPr>
              <w:jc w:val="left"/>
              <w:rPr>
                <w:rFonts w:hint="eastAsia" w:ascii="宋体" w:hAnsi="宋体" w:eastAsia="宋体" w:cs="宋体"/>
                <w:i w:val="0"/>
                <w:iCs w:val="0"/>
                <w:color w:val="auto"/>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4F893">
            <w:pPr>
              <w:jc w:val="left"/>
              <w:rPr>
                <w:rFonts w:hint="eastAsia" w:ascii="宋体" w:hAnsi="宋体" w:eastAsia="宋体" w:cs="宋体"/>
                <w:i w:val="0"/>
                <w:iCs w:val="0"/>
                <w:color w:val="auto"/>
                <w:sz w:val="18"/>
                <w:szCs w:val="18"/>
                <w:u w:val="none"/>
              </w:rPr>
            </w:pPr>
          </w:p>
        </w:tc>
      </w:tr>
      <w:tr w14:paraId="792F8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72" w:type="dxa"/>
            <w:vMerge w:val="restart"/>
            <w:tcBorders>
              <w:top w:val="single" w:color="000000" w:sz="4" w:space="0"/>
              <w:left w:val="single" w:color="000000" w:sz="4" w:space="0"/>
              <w:right w:val="single" w:color="000000" w:sz="4" w:space="0"/>
            </w:tcBorders>
            <w:shd w:val="clear" w:color="auto" w:fill="auto"/>
            <w:noWrap/>
            <w:vAlign w:val="center"/>
          </w:tcPr>
          <w:p w14:paraId="30077E78">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服务过程（600分，不含延伸服务10分）</w:t>
            </w:r>
          </w:p>
        </w:tc>
        <w:tc>
          <w:tcPr>
            <w:tcW w:w="975" w:type="dxa"/>
            <w:vMerge w:val="restart"/>
            <w:tcBorders>
              <w:top w:val="single" w:color="000000" w:sz="4" w:space="0"/>
              <w:left w:val="single" w:color="000000" w:sz="4" w:space="0"/>
              <w:right w:val="single" w:color="000000" w:sz="4" w:space="0"/>
            </w:tcBorders>
            <w:shd w:val="clear" w:color="auto" w:fill="auto"/>
            <w:vAlign w:val="center"/>
          </w:tcPr>
          <w:p w14:paraId="5746AE6D">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房屋及设施设备管理（186分）</w:t>
            </w:r>
          </w:p>
        </w:tc>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25681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供配电系统（40分）</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C4D0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巡检及保养管理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A2B5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D9D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应按GB 13869和GB 29480的规定进行高低压供配电设备定期巡检、保养、检修，供配电系统预防性试验应按DL/T 596 的规定执行</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BE0D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查验资料，重点检查记录是否缺项、内容是否完善和适用、符合相关规定，与服务约定、实际运行是否相符</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DFCE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有相关文件的，依据符合要求的程度得0～10分，每发现一处不符合扣1分，扣完为止；无相关文件的，得0分</w:t>
            </w:r>
          </w:p>
        </w:tc>
      </w:tr>
      <w:tr w14:paraId="21C0C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72" w:type="dxa"/>
            <w:vMerge w:val="continue"/>
            <w:tcBorders>
              <w:left w:val="single" w:color="000000" w:sz="4" w:space="0"/>
              <w:right w:val="single" w:color="000000" w:sz="4" w:space="0"/>
            </w:tcBorders>
            <w:shd w:val="clear" w:color="auto" w:fill="auto"/>
            <w:noWrap/>
            <w:vAlign w:val="center"/>
          </w:tcPr>
          <w:p w14:paraId="5DA14BAC">
            <w:pPr>
              <w:jc w:val="both"/>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1168D5B3">
            <w:pPr>
              <w:jc w:val="center"/>
              <w:rPr>
                <w:rFonts w:hint="eastAsia" w:ascii="宋体" w:hAnsi="宋体" w:eastAsia="宋体" w:cs="宋体"/>
                <w:i w:val="0"/>
                <w:iCs w:val="0"/>
                <w:color w:val="auto"/>
                <w:sz w:val="18"/>
                <w:szCs w:val="18"/>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B1EE4">
            <w:pPr>
              <w:jc w:val="center"/>
              <w:rPr>
                <w:rFonts w:hint="eastAsia" w:ascii="宋体" w:hAnsi="宋体" w:eastAsia="宋体" w:cs="宋体"/>
                <w:i w:val="0"/>
                <w:iCs w:val="0"/>
                <w:color w:val="auto"/>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6D8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定期检验管理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A1AD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6DAD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应按DL/T 1476的规定对电力安全工、器具进行定期检验</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AAB7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查阅电气安全用具的检测报告，检查是否在有效期内，并查看现场电气安全用具的存放、卫生、标识张贴、完好状态等管理情况</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57C0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依据符合要求程度得0～5分，每不符合一项，扣1分，扣完为止；无相关检测的，得0分</w:t>
            </w:r>
          </w:p>
        </w:tc>
      </w:tr>
      <w:tr w14:paraId="35C02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72" w:type="dxa"/>
            <w:vMerge w:val="continue"/>
            <w:tcBorders>
              <w:left w:val="single" w:color="000000" w:sz="4" w:space="0"/>
              <w:right w:val="single" w:color="000000" w:sz="4" w:space="0"/>
            </w:tcBorders>
            <w:shd w:val="clear" w:color="auto" w:fill="auto"/>
            <w:noWrap/>
            <w:vAlign w:val="center"/>
          </w:tcPr>
          <w:p w14:paraId="4F34522D">
            <w:pPr>
              <w:jc w:val="both"/>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2FD58C82">
            <w:pPr>
              <w:jc w:val="center"/>
              <w:rPr>
                <w:rFonts w:hint="eastAsia" w:ascii="宋体" w:hAnsi="宋体" w:eastAsia="宋体" w:cs="宋体"/>
                <w:i w:val="0"/>
                <w:iCs w:val="0"/>
                <w:color w:val="auto"/>
                <w:sz w:val="18"/>
                <w:szCs w:val="18"/>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4EECE">
            <w:pPr>
              <w:jc w:val="center"/>
              <w:rPr>
                <w:rFonts w:hint="eastAsia" w:ascii="宋体" w:hAnsi="宋体" w:eastAsia="宋体" w:cs="宋体"/>
                <w:i w:val="0"/>
                <w:iCs w:val="0"/>
                <w:color w:val="auto"/>
                <w:sz w:val="18"/>
                <w:szCs w:val="18"/>
                <w:u w:val="none"/>
              </w:rPr>
            </w:pP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F9519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柴油发电机应急电源管理</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33926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BA7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①应定期对柴油发电机进行空载、负载试机运行</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7FC33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查验资料，重点检查记录是否完善适用，与实际运行是否相符</w:t>
            </w:r>
          </w:p>
        </w:tc>
        <w:tc>
          <w:tcPr>
            <w:tcW w:w="33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00874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有相关文件的，依据符合要求的程度得0～5分，每发现一处不符合扣1分，扣完为止；无相关文件的，得0分</w:t>
            </w:r>
          </w:p>
        </w:tc>
      </w:tr>
      <w:tr w14:paraId="5A547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972" w:type="dxa"/>
            <w:vMerge w:val="continue"/>
            <w:tcBorders>
              <w:left w:val="single" w:color="000000" w:sz="4" w:space="0"/>
              <w:right w:val="single" w:color="000000" w:sz="4" w:space="0"/>
            </w:tcBorders>
            <w:shd w:val="clear" w:color="auto" w:fill="auto"/>
            <w:noWrap/>
            <w:vAlign w:val="center"/>
          </w:tcPr>
          <w:p w14:paraId="1F15784A">
            <w:pPr>
              <w:jc w:val="both"/>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1F61CCEE">
            <w:pPr>
              <w:jc w:val="center"/>
              <w:rPr>
                <w:rFonts w:hint="eastAsia" w:ascii="宋体" w:hAnsi="宋体" w:eastAsia="宋体" w:cs="宋体"/>
                <w:i w:val="0"/>
                <w:iCs w:val="0"/>
                <w:color w:val="auto"/>
                <w:sz w:val="18"/>
                <w:szCs w:val="18"/>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ED8FD">
            <w:pPr>
              <w:jc w:val="center"/>
              <w:rPr>
                <w:rFonts w:hint="eastAsia" w:ascii="宋体" w:hAnsi="宋体" w:eastAsia="宋体" w:cs="宋体"/>
                <w:i w:val="0"/>
                <w:iCs w:val="0"/>
                <w:color w:val="auto"/>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AE3DD">
            <w:pPr>
              <w:jc w:val="center"/>
              <w:rPr>
                <w:rFonts w:hint="eastAsia" w:ascii="宋体" w:hAnsi="宋体" w:eastAsia="宋体" w:cs="宋体"/>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984C8">
            <w:pPr>
              <w:jc w:val="center"/>
              <w:rPr>
                <w:rFonts w:hint="eastAsia" w:ascii="宋体" w:hAnsi="宋体" w:eastAsia="宋体" w:cs="宋体"/>
                <w:i w:val="0"/>
                <w:iCs w:val="0"/>
                <w:color w:val="auto"/>
                <w:sz w:val="18"/>
                <w:szCs w:val="18"/>
                <w:u w:val="none"/>
              </w:rPr>
            </w:pP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C8A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②应定期对应急电源（EPS）、不间断电源（UPS）进行维护保养，并应定期进行充放电测试、电源切换测试接线端子应紧固、风扇及滤网应完好</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FC347">
            <w:pPr>
              <w:jc w:val="left"/>
              <w:rPr>
                <w:rFonts w:hint="eastAsia" w:ascii="宋体" w:hAnsi="宋体" w:eastAsia="宋体" w:cs="宋体"/>
                <w:i w:val="0"/>
                <w:iCs w:val="0"/>
                <w:color w:val="auto"/>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E6F32">
            <w:pPr>
              <w:jc w:val="left"/>
              <w:rPr>
                <w:rFonts w:hint="eastAsia" w:ascii="宋体" w:hAnsi="宋体" w:eastAsia="宋体" w:cs="宋体"/>
                <w:i w:val="0"/>
                <w:iCs w:val="0"/>
                <w:color w:val="auto"/>
                <w:sz w:val="18"/>
                <w:szCs w:val="18"/>
                <w:u w:val="none"/>
              </w:rPr>
            </w:pPr>
          </w:p>
        </w:tc>
      </w:tr>
      <w:tr w14:paraId="03F4C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72" w:type="dxa"/>
            <w:vMerge w:val="continue"/>
            <w:tcBorders>
              <w:left w:val="single" w:color="000000" w:sz="4" w:space="0"/>
              <w:right w:val="single" w:color="000000" w:sz="4" w:space="0"/>
            </w:tcBorders>
            <w:shd w:val="clear" w:color="auto" w:fill="auto"/>
            <w:noWrap/>
            <w:vAlign w:val="center"/>
          </w:tcPr>
          <w:p w14:paraId="674984D4">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5774553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p>
        </w:tc>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70CBF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供配电系统</w:t>
            </w: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4CE7C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安全防范系统管理</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4A912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B85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①应定期对视频监控系统、出入口控制系统、电子巡查系统、入侵报警系统等安全防范系统各组成设施设备、部件和线路进行巡检；</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6F28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现场抽查+查验资料，重点检查巡检记录、维保记录是否完整，与实际运行是否相符</w:t>
            </w:r>
          </w:p>
        </w:tc>
        <w:tc>
          <w:tcPr>
            <w:tcW w:w="33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1DBC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有相关文件的，依据符合要求的程度得0～10分，每发现一处不符合扣1分，扣完为止；无相关文件的，得0分</w:t>
            </w:r>
          </w:p>
        </w:tc>
      </w:tr>
      <w:tr w14:paraId="1B66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2" w:type="dxa"/>
            <w:vMerge w:val="continue"/>
            <w:tcBorders>
              <w:left w:val="single" w:color="000000" w:sz="4" w:space="0"/>
              <w:right w:val="single" w:color="000000" w:sz="4" w:space="0"/>
            </w:tcBorders>
            <w:shd w:val="clear" w:color="auto" w:fill="auto"/>
            <w:noWrap/>
            <w:vAlign w:val="center"/>
          </w:tcPr>
          <w:p w14:paraId="5FD65350">
            <w:pPr>
              <w:jc w:val="both"/>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60DAC769">
            <w:pPr>
              <w:jc w:val="center"/>
              <w:rPr>
                <w:rFonts w:hint="eastAsia" w:ascii="宋体" w:hAnsi="宋体" w:eastAsia="宋体" w:cs="宋体"/>
                <w:i w:val="0"/>
                <w:iCs w:val="0"/>
                <w:color w:val="auto"/>
                <w:sz w:val="18"/>
                <w:szCs w:val="18"/>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5EA1D">
            <w:pPr>
              <w:jc w:val="center"/>
              <w:rPr>
                <w:rFonts w:hint="eastAsia" w:ascii="宋体" w:hAnsi="宋体" w:eastAsia="宋体" w:cs="宋体"/>
                <w:i w:val="0"/>
                <w:iCs w:val="0"/>
                <w:color w:val="auto"/>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6BC7C">
            <w:pPr>
              <w:jc w:val="center"/>
              <w:rPr>
                <w:rFonts w:hint="eastAsia" w:ascii="宋体" w:hAnsi="宋体" w:eastAsia="宋体" w:cs="宋体"/>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64BDE">
            <w:pPr>
              <w:jc w:val="center"/>
              <w:rPr>
                <w:rFonts w:hint="eastAsia" w:ascii="宋体" w:hAnsi="宋体" w:eastAsia="宋体" w:cs="宋体"/>
                <w:i w:val="0"/>
                <w:iCs w:val="0"/>
                <w:color w:val="auto"/>
                <w:sz w:val="18"/>
                <w:szCs w:val="18"/>
                <w:u w:val="none"/>
              </w:rPr>
            </w:pP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EB47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②应定期检查、维护安防网络系统软硬件</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79541">
            <w:pPr>
              <w:jc w:val="left"/>
              <w:rPr>
                <w:rFonts w:hint="eastAsia" w:ascii="宋体" w:hAnsi="宋体" w:eastAsia="宋体" w:cs="宋体"/>
                <w:i w:val="0"/>
                <w:iCs w:val="0"/>
                <w:color w:val="auto"/>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6D10E">
            <w:pPr>
              <w:jc w:val="left"/>
              <w:rPr>
                <w:rFonts w:hint="eastAsia" w:ascii="宋体" w:hAnsi="宋体" w:eastAsia="宋体" w:cs="宋体"/>
                <w:i w:val="0"/>
                <w:iCs w:val="0"/>
                <w:color w:val="auto"/>
                <w:sz w:val="18"/>
                <w:szCs w:val="18"/>
                <w:u w:val="none"/>
              </w:rPr>
            </w:pPr>
          </w:p>
        </w:tc>
      </w:tr>
      <w:tr w14:paraId="1CE5F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72" w:type="dxa"/>
            <w:vMerge w:val="continue"/>
            <w:tcBorders>
              <w:left w:val="single" w:color="000000" w:sz="4" w:space="0"/>
              <w:right w:val="single" w:color="000000" w:sz="4" w:space="0"/>
            </w:tcBorders>
            <w:shd w:val="clear" w:color="auto" w:fill="auto"/>
            <w:noWrap/>
            <w:vAlign w:val="center"/>
          </w:tcPr>
          <w:p w14:paraId="3B7C1B3F">
            <w:pPr>
              <w:jc w:val="both"/>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49017870">
            <w:pPr>
              <w:jc w:val="center"/>
              <w:rPr>
                <w:rFonts w:hint="eastAsia" w:ascii="宋体" w:hAnsi="宋体" w:eastAsia="宋体" w:cs="宋体"/>
                <w:i w:val="0"/>
                <w:iCs w:val="0"/>
                <w:color w:val="auto"/>
                <w:sz w:val="18"/>
                <w:szCs w:val="18"/>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C152E">
            <w:pPr>
              <w:jc w:val="center"/>
              <w:rPr>
                <w:rFonts w:hint="eastAsia" w:ascii="宋体" w:hAnsi="宋体" w:eastAsia="宋体" w:cs="宋体"/>
                <w:i w:val="0"/>
                <w:iCs w:val="0"/>
                <w:color w:val="auto"/>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D792A">
            <w:pPr>
              <w:jc w:val="center"/>
              <w:rPr>
                <w:rFonts w:hint="eastAsia" w:ascii="宋体" w:hAnsi="宋体" w:eastAsia="宋体" w:cs="宋体"/>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F8751">
            <w:pPr>
              <w:jc w:val="center"/>
              <w:rPr>
                <w:rFonts w:hint="eastAsia" w:ascii="宋体" w:hAnsi="宋体" w:eastAsia="宋体" w:cs="宋体"/>
                <w:i w:val="0"/>
                <w:iCs w:val="0"/>
                <w:color w:val="auto"/>
                <w:sz w:val="18"/>
                <w:szCs w:val="18"/>
                <w:u w:val="none"/>
              </w:rPr>
            </w:pP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DA7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③应定期对系统供配电及防雷接地进行维护保养</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99A46">
            <w:pPr>
              <w:jc w:val="left"/>
              <w:rPr>
                <w:rFonts w:hint="eastAsia" w:ascii="宋体" w:hAnsi="宋体" w:eastAsia="宋体" w:cs="宋体"/>
                <w:i w:val="0"/>
                <w:iCs w:val="0"/>
                <w:color w:val="auto"/>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13C72">
            <w:pPr>
              <w:jc w:val="left"/>
              <w:rPr>
                <w:rFonts w:hint="eastAsia" w:ascii="宋体" w:hAnsi="宋体" w:eastAsia="宋体" w:cs="宋体"/>
                <w:i w:val="0"/>
                <w:iCs w:val="0"/>
                <w:color w:val="auto"/>
                <w:sz w:val="18"/>
                <w:szCs w:val="18"/>
                <w:u w:val="none"/>
              </w:rPr>
            </w:pPr>
          </w:p>
        </w:tc>
      </w:tr>
      <w:tr w14:paraId="504DA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72" w:type="dxa"/>
            <w:vMerge w:val="continue"/>
            <w:tcBorders>
              <w:left w:val="single" w:color="000000" w:sz="4" w:space="0"/>
              <w:right w:val="single" w:color="000000" w:sz="4" w:space="0"/>
            </w:tcBorders>
            <w:shd w:val="clear" w:color="auto" w:fill="auto"/>
            <w:noWrap/>
            <w:vAlign w:val="center"/>
          </w:tcPr>
          <w:p w14:paraId="651D30CB">
            <w:pPr>
              <w:jc w:val="both"/>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33B7F90B">
            <w:pPr>
              <w:jc w:val="center"/>
              <w:rPr>
                <w:rFonts w:hint="eastAsia" w:ascii="宋体" w:hAnsi="宋体" w:eastAsia="宋体" w:cs="宋体"/>
                <w:i w:val="0"/>
                <w:iCs w:val="0"/>
                <w:color w:val="auto"/>
                <w:sz w:val="18"/>
                <w:szCs w:val="18"/>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DFE18">
            <w:pPr>
              <w:jc w:val="center"/>
              <w:rPr>
                <w:rFonts w:hint="eastAsia" w:ascii="宋体" w:hAnsi="宋体" w:eastAsia="宋体" w:cs="宋体"/>
                <w:i w:val="0"/>
                <w:iCs w:val="0"/>
                <w:color w:val="auto"/>
                <w:sz w:val="18"/>
                <w:szCs w:val="18"/>
                <w:u w:val="none"/>
              </w:rPr>
            </w:pP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D80E8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停车系统管理</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8F8A3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78EE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①服务器、收费终端、图像识别等设施设备应运行正常</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8A4F5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现场查证+记录查验</w:t>
            </w:r>
          </w:p>
        </w:tc>
        <w:tc>
          <w:tcPr>
            <w:tcW w:w="33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546CA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有相关文件的，依据符合要求的程度得0～5分，每发现一处不符合扣1分，扣完为止；无相关文件的，得0分</w:t>
            </w:r>
          </w:p>
        </w:tc>
      </w:tr>
      <w:tr w14:paraId="0FF94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2" w:type="dxa"/>
            <w:vMerge w:val="continue"/>
            <w:tcBorders>
              <w:left w:val="single" w:color="000000" w:sz="4" w:space="0"/>
              <w:right w:val="single" w:color="000000" w:sz="4" w:space="0"/>
            </w:tcBorders>
            <w:shd w:val="clear" w:color="auto" w:fill="auto"/>
            <w:noWrap/>
            <w:vAlign w:val="center"/>
          </w:tcPr>
          <w:p w14:paraId="30B4DBDE">
            <w:pPr>
              <w:jc w:val="both"/>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35A0760D">
            <w:pPr>
              <w:jc w:val="center"/>
              <w:rPr>
                <w:rFonts w:hint="eastAsia" w:ascii="宋体" w:hAnsi="宋体" w:eastAsia="宋体" w:cs="宋体"/>
                <w:i w:val="0"/>
                <w:iCs w:val="0"/>
                <w:color w:val="auto"/>
                <w:sz w:val="18"/>
                <w:szCs w:val="18"/>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760A0">
            <w:pPr>
              <w:jc w:val="center"/>
              <w:rPr>
                <w:rFonts w:hint="eastAsia" w:ascii="宋体" w:hAnsi="宋体" w:eastAsia="宋体" w:cs="宋体"/>
                <w:i w:val="0"/>
                <w:iCs w:val="0"/>
                <w:color w:val="auto"/>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F55B3">
            <w:pPr>
              <w:jc w:val="center"/>
              <w:rPr>
                <w:rFonts w:hint="eastAsia" w:ascii="宋体" w:hAnsi="宋体" w:eastAsia="宋体" w:cs="宋体"/>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85519">
            <w:pPr>
              <w:jc w:val="center"/>
              <w:rPr>
                <w:rFonts w:hint="eastAsia" w:ascii="宋体" w:hAnsi="宋体" w:eastAsia="宋体" w:cs="宋体"/>
                <w:i w:val="0"/>
                <w:iCs w:val="0"/>
                <w:color w:val="auto"/>
                <w:sz w:val="18"/>
                <w:szCs w:val="18"/>
                <w:u w:val="none"/>
              </w:rPr>
            </w:pP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4BDC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②摄像机、道闸应安装牢固、运行正常</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7F8C5">
            <w:pPr>
              <w:jc w:val="left"/>
              <w:rPr>
                <w:rFonts w:hint="eastAsia" w:ascii="宋体" w:hAnsi="宋体" w:eastAsia="宋体" w:cs="宋体"/>
                <w:i w:val="0"/>
                <w:iCs w:val="0"/>
                <w:color w:val="auto"/>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DBC3C">
            <w:pPr>
              <w:jc w:val="left"/>
              <w:rPr>
                <w:rFonts w:hint="eastAsia" w:ascii="宋体" w:hAnsi="宋体" w:eastAsia="宋体" w:cs="宋体"/>
                <w:i w:val="0"/>
                <w:iCs w:val="0"/>
                <w:color w:val="auto"/>
                <w:sz w:val="18"/>
                <w:szCs w:val="18"/>
                <w:u w:val="none"/>
              </w:rPr>
            </w:pPr>
          </w:p>
        </w:tc>
      </w:tr>
      <w:tr w14:paraId="2A0A7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2" w:type="dxa"/>
            <w:vMerge w:val="continue"/>
            <w:tcBorders>
              <w:left w:val="single" w:color="000000" w:sz="4" w:space="0"/>
              <w:right w:val="single" w:color="000000" w:sz="4" w:space="0"/>
            </w:tcBorders>
            <w:shd w:val="clear" w:color="auto" w:fill="auto"/>
            <w:noWrap/>
            <w:vAlign w:val="center"/>
          </w:tcPr>
          <w:p w14:paraId="73D4C211">
            <w:pPr>
              <w:jc w:val="both"/>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464F0886">
            <w:pPr>
              <w:jc w:val="center"/>
              <w:rPr>
                <w:rFonts w:hint="eastAsia" w:ascii="宋体" w:hAnsi="宋体" w:eastAsia="宋体" w:cs="宋体"/>
                <w:i w:val="0"/>
                <w:iCs w:val="0"/>
                <w:color w:val="auto"/>
                <w:sz w:val="18"/>
                <w:szCs w:val="18"/>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064D6">
            <w:pPr>
              <w:jc w:val="center"/>
              <w:rPr>
                <w:rFonts w:hint="eastAsia" w:ascii="宋体" w:hAnsi="宋体" w:eastAsia="宋体" w:cs="宋体"/>
                <w:i w:val="0"/>
                <w:iCs w:val="0"/>
                <w:color w:val="auto"/>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EC264">
            <w:pPr>
              <w:jc w:val="center"/>
              <w:rPr>
                <w:rFonts w:hint="eastAsia" w:ascii="宋体" w:hAnsi="宋体" w:eastAsia="宋体" w:cs="宋体"/>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F829B">
            <w:pPr>
              <w:jc w:val="center"/>
              <w:rPr>
                <w:rFonts w:hint="eastAsia" w:ascii="宋体" w:hAnsi="宋体" w:eastAsia="宋体" w:cs="宋体"/>
                <w:i w:val="0"/>
                <w:iCs w:val="0"/>
                <w:color w:val="auto"/>
                <w:sz w:val="18"/>
                <w:szCs w:val="18"/>
                <w:u w:val="none"/>
              </w:rPr>
            </w:pP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8D07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③计费显示器显示应清晰，运行应正常</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E2406">
            <w:pPr>
              <w:jc w:val="left"/>
              <w:rPr>
                <w:rFonts w:hint="eastAsia" w:ascii="宋体" w:hAnsi="宋体" w:eastAsia="宋体" w:cs="宋体"/>
                <w:i w:val="0"/>
                <w:iCs w:val="0"/>
                <w:color w:val="auto"/>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43452">
            <w:pPr>
              <w:jc w:val="left"/>
              <w:rPr>
                <w:rFonts w:hint="eastAsia" w:ascii="宋体" w:hAnsi="宋体" w:eastAsia="宋体" w:cs="宋体"/>
                <w:i w:val="0"/>
                <w:iCs w:val="0"/>
                <w:color w:val="auto"/>
                <w:sz w:val="18"/>
                <w:szCs w:val="18"/>
                <w:u w:val="none"/>
              </w:rPr>
            </w:pPr>
          </w:p>
        </w:tc>
      </w:tr>
      <w:tr w14:paraId="16672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72" w:type="dxa"/>
            <w:vMerge w:val="continue"/>
            <w:tcBorders>
              <w:left w:val="single" w:color="000000" w:sz="4" w:space="0"/>
              <w:right w:val="single" w:color="000000" w:sz="4" w:space="0"/>
            </w:tcBorders>
            <w:shd w:val="clear" w:color="auto" w:fill="auto"/>
            <w:noWrap/>
            <w:vAlign w:val="center"/>
          </w:tcPr>
          <w:p w14:paraId="4F68F12B">
            <w:pPr>
              <w:jc w:val="both"/>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21896657">
            <w:pPr>
              <w:jc w:val="center"/>
              <w:rPr>
                <w:rFonts w:hint="eastAsia" w:ascii="宋体" w:hAnsi="宋体" w:eastAsia="宋体" w:cs="宋体"/>
                <w:i w:val="0"/>
                <w:iCs w:val="0"/>
                <w:color w:val="auto"/>
                <w:sz w:val="18"/>
                <w:szCs w:val="18"/>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BF36D">
            <w:pPr>
              <w:jc w:val="center"/>
              <w:rPr>
                <w:rFonts w:hint="eastAsia" w:ascii="宋体" w:hAnsi="宋体" w:eastAsia="宋体" w:cs="宋体"/>
                <w:i w:val="0"/>
                <w:iCs w:val="0"/>
                <w:color w:val="auto"/>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6E94A">
            <w:pPr>
              <w:jc w:val="center"/>
              <w:rPr>
                <w:rFonts w:hint="eastAsia" w:ascii="宋体" w:hAnsi="宋体" w:eastAsia="宋体" w:cs="宋体"/>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FDD7F">
            <w:pPr>
              <w:jc w:val="center"/>
              <w:rPr>
                <w:rFonts w:hint="eastAsia" w:ascii="宋体" w:hAnsi="宋体" w:eastAsia="宋体" w:cs="宋体"/>
                <w:i w:val="0"/>
                <w:iCs w:val="0"/>
                <w:color w:val="auto"/>
                <w:sz w:val="18"/>
                <w:szCs w:val="18"/>
                <w:u w:val="none"/>
              </w:rPr>
            </w:pP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252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④停车系统应定期检查、检修保养，保持运行正常</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5B33B">
            <w:pPr>
              <w:jc w:val="left"/>
              <w:rPr>
                <w:rFonts w:hint="eastAsia" w:ascii="宋体" w:hAnsi="宋体" w:eastAsia="宋体" w:cs="宋体"/>
                <w:i w:val="0"/>
                <w:iCs w:val="0"/>
                <w:color w:val="auto"/>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55C10">
            <w:pPr>
              <w:jc w:val="left"/>
              <w:rPr>
                <w:rFonts w:hint="eastAsia" w:ascii="宋体" w:hAnsi="宋体" w:eastAsia="宋体" w:cs="宋体"/>
                <w:i w:val="0"/>
                <w:iCs w:val="0"/>
                <w:color w:val="auto"/>
                <w:sz w:val="18"/>
                <w:szCs w:val="18"/>
                <w:u w:val="none"/>
              </w:rPr>
            </w:pPr>
          </w:p>
        </w:tc>
      </w:tr>
      <w:tr w14:paraId="1352C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72" w:type="dxa"/>
            <w:vMerge w:val="continue"/>
            <w:tcBorders>
              <w:left w:val="single" w:color="000000" w:sz="4" w:space="0"/>
              <w:right w:val="single" w:color="000000" w:sz="4" w:space="0"/>
            </w:tcBorders>
            <w:shd w:val="clear" w:color="auto" w:fill="auto"/>
            <w:noWrap/>
            <w:vAlign w:val="center"/>
          </w:tcPr>
          <w:p w14:paraId="41C48A2E">
            <w:pPr>
              <w:jc w:val="both"/>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4B4E5E1D">
            <w:pPr>
              <w:jc w:val="center"/>
              <w:rPr>
                <w:rFonts w:hint="eastAsia" w:ascii="宋体" w:hAnsi="宋体" w:eastAsia="宋体" w:cs="宋体"/>
                <w:i w:val="0"/>
                <w:iCs w:val="0"/>
                <w:color w:val="auto"/>
                <w:sz w:val="18"/>
                <w:szCs w:val="18"/>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F56FD">
            <w:pPr>
              <w:jc w:val="center"/>
              <w:rPr>
                <w:rFonts w:hint="eastAsia" w:ascii="宋体" w:hAnsi="宋体" w:eastAsia="宋体" w:cs="宋体"/>
                <w:i w:val="0"/>
                <w:iCs w:val="0"/>
                <w:color w:val="auto"/>
                <w:sz w:val="18"/>
                <w:szCs w:val="18"/>
                <w:u w:val="none"/>
              </w:rPr>
            </w:pP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F078F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防雷系统管理</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A40C8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1238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①应选择具有资质的专业检测机构定期对防雷设施进行检测</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189A1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现场查证+记录查验</w:t>
            </w:r>
          </w:p>
        </w:tc>
        <w:tc>
          <w:tcPr>
            <w:tcW w:w="33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D4355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有相关文件的，依据符合程度得0～5分，每发现一处不符合扣1分，扣完为止；无相关文件的，得0分</w:t>
            </w:r>
          </w:p>
        </w:tc>
      </w:tr>
      <w:tr w14:paraId="0153C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72" w:type="dxa"/>
            <w:vMerge w:val="continue"/>
            <w:tcBorders>
              <w:left w:val="single" w:color="000000" w:sz="4" w:space="0"/>
              <w:right w:val="single" w:color="000000" w:sz="4" w:space="0"/>
            </w:tcBorders>
            <w:shd w:val="clear" w:color="auto" w:fill="auto"/>
            <w:noWrap/>
            <w:vAlign w:val="center"/>
          </w:tcPr>
          <w:p w14:paraId="1F551A03">
            <w:pPr>
              <w:jc w:val="both"/>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232DFC79">
            <w:pPr>
              <w:jc w:val="center"/>
              <w:rPr>
                <w:rFonts w:hint="eastAsia" w:ascii="宋体" w:hAnsi="宋体" w:eastAsia="宋体" w:cs="宋体"/>
                <w:i w:val="0"/>
                <w:iCs w:val="0"/>
                <w:color w:val="auto"/>
                <w:sz w:val="18"/>
                <w:szCs w:val="18"/>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3CA1C">
            <w:pPr>
              <w:jc w:val="center"/>
              <w:rPr>
                <w:rFonts w:hint="eastAsia" w:ascii="宋体" w:hAnsi="宋体" w:eastAsia="宋体" w:cs="宋体"/>
                <w:i w:val="0"/>
                <w:iCs w:val="0"/>
                <w:color w:val="auto"/>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013B2">
            <w:pPr>
              <w:jc w:val="center"/>
              <w:rPr>
                <w:rFonts w:hint="eastAsia" w:ascii="宋体" w:hAnsi="宋体" w:eastAsia="宋体" w:cs="宋体"/>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4BFC4">
            <w:pPr>
              <w:jc w:val="center"/>
              <w:rPr>
                <w:rFonts w:hint="eastAsia" w:ascii="宋体" w:hAnsi="宋体" w:eastAsia="宋体" w:cs="宋体"/>
                <w:i w:val="0"/>
                <w:iCs w:val="0"/>
                <w:color w:val="auto"/>
                <w:sz w:val="18"/>
                <w:szCs w:val="18"/>
                <w:u w:val="none"/>
              </w:rPr>
            </w:pP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837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②应定期巡查维护，保持机电设备、管道、构架等金属物接地良好，包括但不限于：</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1028C">
            <w:pPr>
              <w:jc w:val="left"/>
              <w:rPr>
                <w:rFonts w:hint="eastAsia" w:ascii="宋体" w:hAnsi="宋体" w:eastAsia="宋体" w:cs="宋体"/>
                <w:i w:val="0"/>
                <w:iCs w:val="0"/>
                <w:color w:val="auto"/>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4A880">
            <w:pPr>
              <w:jc w:val="left"/>
              <w:rPr>
                <w:rFonts w:hint="eastAsia" w:ascii="宋体" w:hAnsi="宋体" w:eastAsia="宋体" w:cs="宋体"/>
                <w:i w:val="0"/>
                <w:iCs w:val="0"/>
                <w:color w:val="auto"/>
                <w:sz w:val="18"/>
                <w:szCs w:val="18"/>
                <w:u w:val="none"/>
              </w:rPr>
            </w:pPr>
          </w:p>
        </w:tc>
      </w:tr>
      <w:tr w14:paraId="60975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2" w:type="dxa"/>
            <w:vMerge w:val="continue"/>
            <w:tcBorders>
              <w:left w:val="single" w:color="000000" w:sz="4" w:space="0"/>
              <w:right w:val="single" w:color="000000" w:sz="4" w:space="0"/>
            </w:tcBorders>
            <w:shd w:val="clear" w:color="auto" w:fill="auto"/>
            <w:noWrap/>
            <w:vAlign w:val="center"/>
          </w:tcPr>
          <w:p w14:paraId="711E8245">
            <w:pPr>
              <w:jc w:val="both"/>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612F8009">
            <w:pPr>
              <w:jc w:val="center"/>
              <w:rPr>
                <w:rFonts w:hint="eastAsia" w:ascii="宋体" w:hAnsi="宋体" w:eastAsia="宋体" w:cs="宋体"/>
                <w:i w:val="0"/>
                <w:iCs w:val="0"/>
                <w:color w:val="auto"/>
                <w:sz w:val="18"/>
                <w:szCs w:val="18"/>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44CB0">
            <w:pPr>
              <w:jc w:val="center"/>
              <w:rPr>
                <w:rFonts w:hint="eastAsia" w:ascii="宋体" w:hAnsi="宋体" w:eastAsia="宋体" w:cs="宋体"/>
                <w:i w:val="0"/>
                <w:iCs w:val="0"/>
                <w:color w:val="auto"/>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8568F">
            <w:pPr>
              <w:jc w:val="center"/>
              <w:rPr>
                <w:rFonts w:hint="eastAsia" w:ascii="宋体" w:hAnsi="宋体" w:eastAsia="宋体" w:cs="宋体"/>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636D9">
            <w:pPr>
              <w:jc w:val="center"/>
              <w:rPr>
                <w:rFonts w:hint="eastAsia" w:ascii="宋体" w:hAnsi="宋体" w:eastAsia="宋体" w:cs="宋体"/>
                <w:i w:val="0"/>
                <w:iCs w:val="0"/>
                <w:color w:val="auto"/>
                <w:sz w:val="18"/>
                <w:szCs w:val="18"/>
                <w:u w:val="none"/>
              </w:rPr>
            </w:pP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49D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a）避雷带、避雷针、避雷网等装置；</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343B3">
            <w:pPr>
              <w:jc w:val="left"/>
              <w:rPr>
                <w:rFonts w:hint="eastAsia" w:ascii="宋体" w:hAnsi="宋体" w:eastAsia="宋体" w:cs="宋体"/>
                <w:i w:val="0"/>
                <w:iCs w:val="0"/>
                <w:color w:val="auto"/>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99709">
            <w:pPr>
              <w:jc w:val="left"/>
              <w:rPr>
                <w:rFonts w:hint="eastAsia" w:ascii="宋体" w:hAnsi="宋体" w:eastAsia="宋体" w:cs="宋体"/>
                <w:i w:val="0"/>
                <w:iCs w:val="0"/>
                <w:color w:val="auto"/>
                <w:sz w:val="18"/>
                <w:szCs w:val="18"/>
                <w:u w:val="none"/>
              </w:rPr>
            </w:pPr>
          </w:p>
        </w:tc>
      </w:tr>
      <w:tr w14:paraId="2779E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2" w:type="dxa"/>
            <w:vMerge w:val="continue"/>
            <w:tcBorders>
              <w:left w:val="single" w:color="000000" w:sz="4" w:space="0"/>
              <w:bottom w:val="single" w:color="000000" w:sz="4" w:space="0"/>
              <w:right w:val="single" w:color="000000" w:sz="4" w:space="0"/>
            </w:tcBorders>
            <w:shd w:val="clear" w:color="auto" w:fill="auto"/>
            <w:noWrap/>
            <w:vAlign w:val="center"/>
          </w:tcPr>
          <w:p w14:paraId="797751FB">
            <w:pPr>
              <w:jc w:val="both"/>
              <w:rPr>
                <w:rFonts w:hint="eastAsia" w:ascii="宋体" w:hAnsi="宋体" w:eastAsia="宋体" w:cs="宋体"/>
                <w:i w:val="0"/>
                <w:iCs w:val="0"/>
                <w:color w:val="auto"/>
                <w:sz w:val="18"/>
                <w:szCs w:val="18"/>
                <w:u w:val="none"/>
              </w:rPr>
            </w:pPr>
          </w:p>
        </w:tc>
        <w:tc>
          <w:tcPr>
            <w:tcW w:w="975" w:type="dxa"/>
            <w:vMerge w:val="continue"/>
            <w:tcBorders>
              <w:left w:val="single" w:color="000000" w:sz="4" w:space="0"/>
              <w:bottom w:val="single" w:color="000000" w:sz="4" w:space="0"/>
              <w:right w:val="single" w:color="000000" w:sz="4" w:space="0"/>
            </w:tcBorders>
            <w:shd w:val="clear" w:color="auto" w:fill="auto"/>
            <w:vAlign w:val="center"/>
          </w:tcPr>
          <w:p w14:paraId="4D3F8078">
            <w:pPr>
              <w:jc w:val="center"/>
              <w:rPr>
                <w:rFonts w:hint="eastAsia" w:ascii="宋体" w:hAnsi="宋体" w:eastAsia="宋体" w:cs="宋体"/>
                <w:i w:val="0"/>
                <w:iCs w:val="0"/>
                <w:color w:val="auto"/>
                <w:sz w:val="18"/>
                <w:szCs w:val="18"/>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20695">
            <w:pPr>
              <w:jc w:val="center"/>
              <w:rPr>
                <w:rFonts w:hint="eastAsia" w:ascii="宋体" w:hAnsi="宋体" w:eastAsia="宋体" w:cs="宋体"/>
                <w:i w:val="0"/>
                <w:iCs w:val="0"/>
                <w:color w:val="auto"/>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10ADA">
            <w:pPr>
              <w:jc w:val="center"/>
              <w:rPr>
                <w:rFonts w:hint="eastAsia" w:ascii="宋体" w:hAnsi="宋体" w:eastAsia="宋体" w:cs="宋体"/>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C0ED6">
            <w:pPr>
              <w:jc w:val="center"/>
              <w:rPr>
                <w:rFonts w:hint="eastAsia" w:ascii="宋体" w:hAnsi="宋体" w:eastAsia="宋体" w:cs="宋体"/>
                <w:i w:val="0"/>
                <w:iCs w:val="0"/>
                <w:color w:val="auto"/>
                <w:sz w:val="18"/>
                <w:szCs w:val="18"/>
                <w:u w:val="none"/>
              </w:rPr>
            </w:pP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CEC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b）重要机房的设备防静电地板的接地；</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FAC45">
            <w:pPr>
              <w:jc w:val="left"/>
              <w:rPr>
                <w:rFonts w:hint="eastAsia" w:ascii="宋体" w:hAnsi="宋体" w:eastAsia="宋体" w:cs="宋体"/>
                <w:i w:val="0"/>
                <w:iCs w:val="0"/>
                <w:color w:val="auto"/>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FA3D8">
            <w:pPr>
              <w:jc w:val="left"/>
              <w:rPr>
                <w:rFonts w:hint="eastAsia" w:ascii="宋体" w:hAnsi="宋体" w:eastAsia="宋体" w:cs="宋体"/>
                <w:i w:val="0"/>
                <w:iCs w:val="0"/>
                <w:color w:val="auto"/>
                <w:sz w:val="18"/>
                <w:szCs w:val="18"/>
                <w:u w:val="none"/>
              </w:rPr>
            </w:pPr>
          </w:p>
        </w:tc>
      </w:tr>
      <w:tr w14:paraId="3D666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2" w:type="dxa"/>
            <w:vMerge w:val="restart"/>
            <w:tcBorders>
              <w:top w:val="single" w:color="000000" w:sz="4" w:space="0"/>
              <w:left w:val="single" w:color="000000" w:sz="4" w:space="0"/>
              <w:right w:val="single" w:color="000000" w:sz="4" w:space="0"/>
            </w:tcBorders>
            <w:shd w:val="clear" w:color="auto" w:fill="auto"/>
            <w:noWrap/>
            <w:vAlign w:val="center"/>
          </w:tcPr>
          <w:p w14:paraId="3ACFE7F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服务过程（600分，不含延伸服务10分）</w:t>
            </w:r>
          </w:p>
        </w:tc>
        <w:tc>
          <w:tcPr>
            <w:tcW w:w="975" w:type="dxa"/>
            <w:vMerge w:val="restart"/>
            <w:tcBorders>
              <w:top w:val="single" w:color="000000" w:sz="4" w:space="0"/>
              <w:left w:val="single" w:color="000000" w:sz="4" w:space="0"/>
              <w:right w:val="single" w:color="000000" w:sz="4" w:space="0"/>
            </w:tcBorders>
            <w:shd w:val="clear" w:color="auto" w:fill="auto"/>
            <w:vAlign w:val="center"/>
          </w:tcPr>
          <w:p w14:paraId="641D0CA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房屋及设施设备管理（186分）</w:t>
            </w: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257BB">
            <w:pPr>
              <w:jc w:val="center"/>
              <w:rPr>
                <w:rFonts w:hint="eastAsia" w:ascii="宋体" w:hAnsi="宋体" w:eastAsia="宋体" w:cs="宋体"/>
                <w:i w:val="0"/>
                <w:iCs w:val="0"/>
                <w:color w:val="auto"/>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C68E2">
            <w:pPr>
              <w:jc w:val="center"/>
              <w:rPr>
                <w:rFonts w:hint="eastAsia" w:ascii="宋体" w:hAnsi="宋体" w:eastAsia="宋体" w:cs="宋体"/>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85D94">
            <w:pPr>
              <w:jc w:val="center"/>
              <w:rPr>
                <w:rFonts w:hint="eastAsia" w:ascii="宋体" w:hAnsi="宋体" w:eastAsia="宋体" w:cs="宋体"/>
                <w:i w:val="0"/>
                <w:iCs w:val="0"/>
                <w:color w:val="auto"/>
                <w:sz w:val="18"/>
                <w:szCs w:val="18"/>
                <w:u w:val="none"/>
              </w:rPr>
            </w:pP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8ED7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c）各楼层的钢窗、钢结构；</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6FFE5">
            <w:pPr>
              <w:jc w:val="left"/>
              <w:rPr>
                <w:rFonts w:hint="eastAsia" w:ascii="宋体" w:hAnsi="宋体" w:eastAsia="宋体" w:cs="宋体"/>
                <w:i w:val="0"/>
                <w:iCs w:val="0"/>
                <w:color w:val="auto"/>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12CDA">
            <w:pPr>
              <w:jc w:val="left"/>
              <w:rPr>
                <w:rFonts w:hint="eastAsia" w:ascii="宋体" w:hAnsi="宋体" w:eastAsia="宋体" w:cs="宋体"/>
                <w:i w:val="0"/>
                <w:iCs w:val="0"/>
                <w:color w:val="auto"/>
                <w:sz w:val="18"/>
                <w:szCs w:val="18"/>
                <w:u w:val="none"/>
              </w:rPr>
            </w:pPr>
          </w:p>
        </w:tc>
      </w:tr>
      <w:tr w14:paraId="6A70E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72" w:type="dxa"/>
            <w:vMerge w:val="continue"/>
            <w:tcBorders>
              <w:left w:val="single" w:color="000000" w:sz="4" w:space="0"/>
              <w:right w:val="single" w:color="000000" w:sz="4" w:space="0"/>
            </w:tcBorders>
            <w:shd w:val="clear" w:color="auto" w:fill="auto"/>
            <w:noWrap/>
            <w:vAlign w:val="center"/>
          </w:tcPr>
          <w:p w14:paraId="09E1386B">
            <w:pPr>
              <w:jc w:val="both"/>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7C9864E8">
            <w:pPr>
              <w:jc w:val="center"/>
              <w:rPr>
                <w:rFonts w:hint="eastAsia" w:ascii="宋体" w:hAnsi="宋体" w:eastAsia="宋体" w:cs="宋体"/>
                <w:i w:val="0"/>
                <w:iCs w:val="0"/>
                <w:color w:val="auto"/>
                <w:sz w:val="18"/>
                <w:szCs w:val="18"/>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8B470">
            <w:pPr>
              <w:jc w:val="center"/>
              <w:rPr>
                <w:rFonts w:hint="eastAsia" w:ascii="宋体" w:hAnsi="宋体" w:eastAsia="宋体" w:cs="宋体"/>
                <w:i w:val="0"/>
                <w:iCs w:val="0"/>
                <w:color w:val="auto"/>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C5D1A">
            <w:pPr>
              <w:jc w:val="center"/>
              <w:rPr>
                <w:rFonts w:hint="eastAsia" w:ascii="宋体" w:hAnsi="宋体" w:eastAsia="宋体" w:cs="宋体"/>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05A75">
            <w:pPr>
              <w:jc w:val="center"/>
              <w:rPr>
                <w:rFonts w:hint="eastAsia" w:ascii="宋体" w:hAnsi="宋体" w:eastAsia="宋体" w:cs="宋体"/>
                <w:i w:val="0"/>
                <w:iCs w:val="0"/>
                <w:color w:val="auto"/>
                <w:sz w:val="18"/>
                <w:szCs w:val="18"/>
                <w:u w:val="none"/>
              </w:rPr>
            </w:pP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60C6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③变配电室内设备的接地带、各重要机房内的配电柜及设备接地设施</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B8008">
            <w:pPr>
              <w:jc w:val="left"/>
              <w:rPr>
                <w:rFonts w:hint="eastAsia" w:ascii="宋体" w:hAnsi="宋体" w:eastAsia="宋体" w:cs="宋体"/>
                <w:i w:val="0"/>
                <w:iCs w:val="0"/>
                <w:color w:val="auto"/>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1575A">
            <w:pPr>
              <w:jc w:val="left"/>
              <w:rPr>
                <w:rFonts w:hint="eastAsia" w:ascii="宋体" w:hAnsi="宋体" w:eastAsia="宋体" w:cs="宋体"/>
                <w:i w:val="0"/>
                <w:iCs w:val="0"/>
                <w:color w:val="auto"/>
                <w:sz w:val="18"/>
                <w:szCs w:val="18"/>
                <w:u w:val="none"/>
              </w:rPr>
            </w:pPr>
          </w:p>
        </w:tc>
      </w:tr>
      <w:tr w14:paraId="2956B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72" w:type="dxa"/>
            <w:vMerge w:val="continue"/>
            <w:tcBorders>
              <w:left w:val="single" w:color="000000" w:sz="4" w:space="0"/>
              <w:right w:val="single" w:color="000000" w:sz="4" w:space="0"/>
            </w:tcBorders>
            <w:shd w:val="clear" w:color="auto" w:fill="auto"/>
            <w:noWrap/>
            <w:vAlign w:val="center"/>
          </w:tcPr>
          <w:p w14:paraId="26BEF9BF">
            <w:pPr>
              <w:jc w:val="both"/>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61911936">
            <w:pPr>
              <w:jc w:val="center"/>
              <w:rPr>
                <w:rFonts w:hint="eastAsia" w:ascii="宋体" w:hAnsi="宋体" w:eastAsia="宋体" w:cs="宋体"/>
                <w:i w:val="0"/>
                <w:iCs w:val="0"/>
                <w:color w:val="auto"/>
                <w:sz w:val="18"/>
                <w:szCs w:val="18"/>
                <w:u w:val="none"/>
              </w:rPr>
            </w:pPr>
          </w:p>
        </w:tc>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302E3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电梯系统（36分）</w:t>
            </w: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72F12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垂直电梯系统管理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9CC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DA34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建立电梯系统运行管理标准，包括运行管理职责、巡视巡查、维护保养、安全管理、节能管理、突发事件处理等的要求</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FC9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查验资料，重点检查制度标准文件内容是否完善适用，与服务约定、实际运行是否相符</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B56B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有相关文件的，依据符合程度得0～3分，每发现一处不符合扣1分，扣完为止；无相关文件的，得0分</w:t>
            </w:r>
          </w:p>
        </w:tc>
      </w:tr>
      <w:tr w14:paraId="1A816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72" w:type="dxa"/>
            <w:vMerge w:val="continue"/>
            <w:tcBorders>
              <w:left w:val="single" w:color="000000" w:sz="4" w:space="0"/>
              <w:right w:val="single" w:color="000000" w:sz="4" w:space="0"/>
            </w:tcBorders>
            <w:shd w:val="clear" w:color="auto" w:fill="auto"/>
            <w:noWrap/>
            <w:vAlign w:val="center"/>
          </w:tcPr>
          <w:p w14:paraId="1ADBC1A3">
            <w:pPr>
              <w:jc w:val="both"/>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15C44E99">
            <w:pPr>
              <w:jc w:val="center"/>
              <w:rPr>
                <w:rFonts w:hint="eastAsia" w:ascii="宋体" w:hAnsi="宋体" w:eastAsia="宋体" w:cs="宋体"/>
                <w:i w:val="0"/>
                <w:iCs w:val="0"/>
                <w:color w:val="auto"/>
                <w:sz w:val="18"/>
                <w:szCs w:val="18"/>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05941">
            <w:pPr>
              <w:jc w:val="center"/>
              <w:rPr>
                <w:rFonts w:hint="eastAsia" w:ascii="宋体" w:hAnsi="宋体" w:eastAsia="宋体" w:cs="宋体"/>
                <w:i w:val="0"/>
                <w:iCs w:val="0"/>
                <w:color w:val="auto"/>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CC613">
            <w:pPr>
              <w:jc w:val="center"/>
              <w:rPr>
                <w:rFonts w:hint="eastAsia" w:ascii="宋体" w:hAnsi="宋体" w:eastAsia="宋体" w:cs="宋体"/>
                <w:i w:val="0"/>
                <w:iCs w:val="0"/>
                <w:color w:val="auto"/>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0CC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945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应委托有资质的电梯维修保养单位签订电梯维保合同，进行电梯维保</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3564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查验电梯维护保养合同，重点检查合同期限、维保单位资质</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7232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无有效电梯维护保养合同或合同不在有效期的，终止评价</w:t>
            </w:r>
          </w:p>
        </w:tc>
      </w:tr>
      <w:tr w14:paraId="07F4E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72" w:type="dxa"/>
            <w:vMerge w:val="continue"/>
            <w:tcBorders>
              <w:left w:val="single" w:color="000000" w:sz="4" w:space="0"/>
              <w:right w:val="single" w:color="000000" w:sz="4" w:space="0"/>
            </w:tcBorders>
            <w:shd w:val="clear" w:color="auto" w:fill="auto"/>
            <w:noWrap/>
            <w:vAlign w:val="center"/>
          </w:tcPr>
          <w:p w14:paraId="4D44A8FF">
            <w:pPr>
              <w:jc w:val="both"/>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4D3EADE1">
            <w:pPr>
              <w:jc w:val="center"/>
              <w:rPr>
                <w:rFonts w:hint="eastAsia" w:ascii="宋体" w:hAnsi="宋体" w:eastAsia="宋体" w:cs="宋体"/>
                <w:i w:val="0"/>
                <w:iCs w:val="0"/>
                <w:color w:val="auto"/>
                <w:sz w:val="18"/>
                <w:szCs w:val="18"/>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BE20A">
            <w:pPr>
              <w:jc w:val="center"/>
              <w:rPr>
                <w:rFonts w:hint="eastAsia" w:ascii="宋体" w:hAnsi="宋体" w:eastAsia="宋体" w:cs="宋体"/>
                <w:i w:val="0"/>
                <w:iCs w:val="0"/>
                <w:color w:val="auto"/>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52777">
            <w:pPr>
              <w:jc w:val="center"/>
              <w:rPr>
                <w:rFonts w:hint="eastAsia" w:ascii="宋体" w:hAnsi="宋体" w:eastAsia="宋体" w:cs="宋体"/>
                <w:i w:val="0"/>
                <w:iCs w:val="0"/>
                <w:color w:val="auto"/>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F59F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FC7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制定电梯维修保养计划，组织实施并记录，电梯应至少每15日进行一次清洁、润滑、调整和检查；电梯维保应符合TSG T5002、《特种设备安全监察条例》的要求</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E1D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查验周期内的电梯维护保养记录（经维保人员、电梯安全管理人员签字确认）</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B494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无电梯维护保养记录或维保记录不在有效期的，终止评价</w:t>
            </w:r>
          </w:p>
        </w:tc>
      </w:tr>
      <w:tr w14:paraId="57532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72" w:type="dxa"/>
            <w:vMerge w:val="continue"/>
            <w:tcBorders>
              <w:left w:val="single" w:color="000000" w:sz="4" w:space="0"/>
              <w:right w:val="single" w:color="000000" w:sz="4" w:space="0"/>
            </w:tcBorders>
            <w:shd w:val="clear" w:color="auto" w:fill="auto"/>
            <w:noWrap/>
            <w:vAlign w:val="center"/>
          </w:tcPr>
          <w:p w14:paraId="0906D1F0">
            <w:pPr>
              <w:jc w:val="both"/>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40026485">
            <w:pPr>
              <w:jc w:val="center"/>
              <w:rPr>
                <w:rFonts w:hint="eastAsia" w:ascii="宋体" w:hAnsi="宋体" w:eastAsia="宋体" w:cs="宋体"/>
                <w:i w:val="0"/>
                <w:iCs w:val="0"/>
                <w:color w:val="auto"/>
                <w:sz w:val="18"/>
                <w:szCs w:val="18"/>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8E86E">
            <w:pPr>
              <w:jc w:val="center"/>
              <w:rPr>
                <w:rFonts w:hint="eastAsia" w:ascii="宋体" w:hAnsi="宋体" w:eastAsia="宋体" w:cs="宋体"/>
                <w:i w:val="0"/>
                <w:iCs w:val="0"/>
                <w:color w:val="auto"/>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6D128">
            <w:pPr>
              <w:jc w:val="center"/>
              <w:rPr>
                <w:rFonts w:hint="eastAsia" w:ascii="宋体" w:hAnsi="宋体" w:eastAsia="宋体" w:cs="宋体"/>
                <w:i w:val="0"/>
                <w:iCs w:val="0"/>
                <w:color w:val="auto"/>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F13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7A8E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电梯使用前或投入使用后30日内，应向特种设备安全监管部门申请办理使用登记，取得使用登记证；此后定期年检，并张贴新的《安全检验合格证》</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E2F9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查阅电梯定期检验报告是否在有效期且检验结论为“合格”或者 “复检合格”</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BB4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无电梯定期检验报告或检验报告不在有效期的，得0分</w:t>
            </w:r>
          </w:p>
        </w:tc>
      </w:tr>
      <w:tr w14:paraId="7BDF0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972" w:type="dxa"/>
            <w:vMerge w:val="continue"/>
            <w:tcBorders>
              <w:left w:val="single" w:color="000000" w:sz="4" w:space="0"/>
              <w:right w:val="single" w:color="000000" w:sz="4" w:space="0"/>
            </w:tcBorders>
            <w:shd w:val="clear" w:color="auto" w:fill="auto"/>
            <w:vAlign w:val="center"/>
          </w:tcPr>
          <w:p w14:paraId="7CF6E60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2230DD5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p>
        </w:tc>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4ADC2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电梯系统（36分）</w:t>
            </w: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51A9D">
            <w:pPr>
              <w:jc w:val="center"/>
              <w:rPr>
                <w:rFonts w:hint="eastAsia" w:ascii="宋体" w:hAnsi="宋体" w:eastAsia="宋体" w:cs="宋体"/>
                <w:i w:val="0"/>
                <w:iCs w:val="0"/>
                <w:color w:val="auto"/>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D4D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2D3C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根据《特种设备特种设备使用单位落实使用安全主体责任监督管理规定》的要求，进行电梯运行巡查并记录，包括《电梯安全风险管控清单》《每日电梯安全检查记录》《每周电梯安全排查治理报告》《每月电梯安全调度会议纪要》等</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7D08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查验资料，重点检查巡查记录是否与标准文件规定一致且真实、规范</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8160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有相关文件记录的，依据符合程度得0～3分，每发现一处不符合扣1分，扣完为止；无相关文件记录的，得0分</w:t>
            </w:r>
          </w:p>
        </w:tc>
      </w:tr>
      <w:tr w14:paraId="11FC0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72" w:type="dxa"/>
            <w:vMerge w:val="continue"/>
            <w:tcBorders>
              <w:left w:val="single" w:color="000000" w:sz="4" w:space="0"/>
              <w:right w:val="single" w:color="000000" w:sz="4" w:space="0"/>
            </w:tcBorders>
            <w:shd w:val="clear" w:color="auto" w:fill="auto"/>
            <w:vAlign w:val="center"/>
          </w:tcPr>
          <w:p w14:paraId="28CFE3A3">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7B7ED91C">
            <w:pPr>
              <w:jc w:val="center"/>
              <w:rPr>
                <w:rFonts w:hint="eastAsia" w:ascii="宋体" w:hAnsi="宋体" w:eastAsia="宋体" w:cs="宋体"/>
                <w:i w:val="0"/>
                <w:iCs w:val="0"/>
                <w:color w:val="auto"/>
                <w:sz w:val="18"/>
                <w:szCs w:val="18"/>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2EDAC">
            <w:pPr>
              <w:jc w:val="center"/>
              <w:rPr>
                <w:rFonts w:hint="eastAsia" w:ascii="宋体" w:hAnsi="宋体" w:eastAsia="宋体" w:cs="宋体"/>
                <w:i w:val="0"/>
                <w:iCs w:val="0"/>
                <w:color w:val="auto"/>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DBC18">
            <w:pPr>
              <w:jc w:val="center"/>
              <w:rPr>
                <w:rFonts w:hint="eastAsia" w:ascii="宋体" w:hAnsi="宋体" w:eastAsia="宋体" w:cs="宋体"/>
                <w:i w:val="0"/>
                <w:iCs w:val="0"/>
                <w:color w:val="auto"/>
                <w:sz w:val="20"/>
                <w:szCs w:val="20"/>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C3A02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6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94DFD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在电梯轿厢醒目位置公示特种设备使用标志、电梯安全警示标志、乘客注意事项；电梯启动、运行平稳、无异响，开关门正常；平层、防夹功能正常；轿厢内照明和通风运行正常；底槽干净整洁，无砂石、无锈蚀；呼叫面板及五方通话功能正常，无损坏、缺失</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4AC4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查看现场（抽查2部以上电梯）、问询等综合判断</w:t>
            </w:r>
          </w:p>
        </w:tc>
        <w:tc>
          <w:tcPr>
            <w:tcW w:w="33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18F3B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依据现场符合程度得0～2分，每发现一处不符合一处扣1分，扣完为止</w:t>
            </w:r>
          </w:p>
        </w:tc>
      </w:tr>
      <w:tr w14:paraId="6CF6A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72" w:type="dxa"/>
            <w:vMerge w:val="continue"/>
            <w:tcBorders>
              <w:left w:val="single" w:color="000000" w:sz="4" w:space="0"/>
              <w:right w:val="single" w:color="000000" w:sz="4" w:space="0"/>
            </w:tcBorders>
            <w:shd w:val="clear" w:color="auto" w:fill="auto"/>
            <w:vAlign w:val="center"/>
          </w:tcPr>
          <w:p w14:paraId="485F5276">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320F26AB">
            <w:pPr>
              <w:jc w:val="center"/>
              <w:rPr>
                <w:rFonts w:hint="eastAsia" w:ascii="宋体" w:hAnsi="宋体" w:eastAsia="宋体" w:cs="宋体"/>
                <w:i w:val="0"/>
                <w:iCs w:val="0"/>
                <w:color w:val="auto"/>
                <w:sz w:val="18"/>
                <w:szCs w:val="18"/>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99C39">
            <w:pPr>
              <w:jc w:val="center"/>
              <w:rPr>
                <w:rFonts w:hint="eastAsia" w:ascii="宋体" w:hAnsi="宋体" w:eastAsia="宋体" w:cs="宋体"/>
                <w:i w:val="0"/>
                <w:iCs w:val="0"/>
                <w:color w:val="auto"/>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AFCB3">
            <w:pPr>
              <w:jc w:val="center"/>
              <w:rPr>
                <w:rFonts w:hint="eastAsia" w:ascii="宋体" w:hAnsi="宋体" w:eastAsia="宋体" w:cs="宋体"/>
                <w:i w:val="0"/>
                <w:iCs w:val="0"/>
                <w:color w:val="auto"/>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53017">
            <w:pPr>
              <w:jc w:val="center"/>
              <w:rPr>
                <w:rFonts w:hint="eastAsia" w:ascii="宋体" w:hAnsi="宋体" w:eastAsia="宋体" w:cs="宋体"/>
                <w:i w:val="0"/>
                <w:iCs w:val="0"/>
                <w:color w:val="auto"/>
                <w:sz w:val="18"/>
                <w:szCs w:val="18"/>
                <w:u w:val="none"/>
              </w:rPr>
            </w:pPr>
          </w:p>
        </w:tc>
        <w:tc>
          <w:tcPr>
            <w:tcW w:w="4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9075D">
            <w:pPr>
              <w:jc w:val="left"/>
              <w:rPr>
                <w:rFonts w:hint="eastAsia" w:ascii="宋体" w:hAnsi="宋体" w:eastAsia="宋体" w:cs="宋体"/>
                <w:i w:val="0"/>
                <w:iCs w:val="0"/>
                <w:color w:val="auto"/>
                <w:sz w:val="18"/>
                <w:szCs w:val="18"/>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C64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注：现场测试五方对讲、查看轿厢、机房等</w:t>
            </w: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B8CA6">
            <w:pPr>
              <w:jc w:val="left"/>
              <w:rPr>
                <w:rFonts w:hint="eastAsia" w:ascii="宋体" w:hAnsi="宋体" w:eastAsia="宋体" w:cs="宋体"/>
                <w:i w:val="0"/>
                <w:iCs w:val="0"/>
                <w:color w:val="auto"/>
                <w:sz w:val="18"/>
                <w:szCs w:val="18"/>
                <w:u w:val="none"/>
              </w:rPr>
            </w:pPr>
          </w:p>
        </w:tc>
      </w:tr>
      <w:tr w14:paraId="622B7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72" w:type="dxa"/>
            <w:vMerge w:val="continue"/>
            <w:tcBorders>
              <w:left w:val="single" w:color="000000" w:sz="4" w:space="0"/>
              <w:bottom w:val="single" w:color="000000" w:sz="4" w:space="0"/>
              <w:right w:val="single" w:color="000000" w:sz="4" w:space="0"/>
            </w:tcBorders>
            <w:shd w:val="clear" w:color="auto" w:fill="auto"/>
            <w:vAlign w:val="center"/>
          </w:tcPr>
          <w:p w14:paraId="226C9727">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bottom w:val="single" w:color="000000" w:sz="4" w:space="0"/>
              <w:right w:val="single" w:color="000000" w:sz="4" w:space="0"/>
            </w:tcBorders>
            <w:shd w:val="clear" w:color="auto" w:fill="auto"/>
            <w:vAlign w:val="center"/>
          </w:tcPr>
          <w:p w14:paraId="5A4A3B3D">
            <w:pPr>
              <w:jc w:val="center"/>
              <w:rPr>
                <w:rFonts w:hint="eastAsia" w:ascii="宋体" w:hAnsi="宋体" w:eastAsia="宋体" w:cs="宋体"/>
                <w:i w:val="0"/>
                <w:iCs w:val="0"/>
                <w:color w:val="auto"/>
                <w:sz w:val="18"/>
                <w:szCs w:val="18"/>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DF8B6">
            <w:pPr>
              <w:jc w:val="center"/>
              <w:rPr>
                <w:rFonts w:hint="eastAsia" w:ascii="宋体" w:hAnsi="宋体" w:eastAsia="宋体" w:cs="宋体"/>
                <w:i w:val="0"/>
                <w:iCs w:val="0"/>
                <w:color w:val="auto"/>
                <w:sz w:val="18"/>
                <w:szCs w:val="18"/>
                <w:u w:val="none"/>
              </w:rPr>
            </w:pP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EDA85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自动扶梯、自动人行道管理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EFD2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A3D8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建立自动扶梯、自动人行道的运行管理标准，包括运行管理职责、巡视巡查、维护保养、安全管理、突发事件处理等的要求</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A1B7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查验资料，重点检查制度标准文件内容是否完善适用，与服务约定、实际运行是否相符</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A735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有相关文件的，依据符合程度得0～X分，每发现一处不符合扣0.5分，扣完为止；无相关文件的，得0分</w:t>
            </w:r>
          </w:p>
        </w:tc>
      </w:tr>
      <w:tr w14:paraId="4D5D7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72" w:type="dxa"/>
            <w:vMerge w:val="restart"/>
            <w:tcBorders>
              <w:top w:val="single" w:color="000000" w:sz="4" w:space="0"/>
              <w:left w:val="single" w:color="000000" w:sz="4" w:space="0"/>
              <w:right w:val="single" w:color="000000" w:sz="4" w:space="0"/>
            </w:tcBorders>
            <w:shd w:val="clear" w:color="auto" w:fill="auto"/>
            <w:vAlign w:val="center"/>
          </w:tcPr>
          <w:p w14:paraId="306F321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服务过程（600分，不含延伸服务10分）</w:t>
            </w:r>
          </w:p>
        </w:tc>
        <w:tc>
          <w:tcPr>
            <w:tcW w:w="975" w:type="dxa"/>
            <w:vMerge w:val="restart"/>
            <w:tcBorders>
              <w:top w:val="single" w:color="000000" w:sz="4" w:space="0"/>
              <w:left w:val="single" w:color="000000" w:sz="4" w:space="0"/>
              <w:right w:val="single" w:color="000000" w:sz="4" w:space="0"/>
            </w:tcBorders>
            <w:shd w:val="clear" w:color="auto" w:fill="auto"/>
            <w:vAlign w:val="center"/>
          </w:tcPr>
          <w:p w14:paraId="1676C59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房屋及设施设备管理（186分）</w:t>
            </w: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39900">
            <w:pPr>
              <w:jc w:val="center"/>
              <w:rPr>
                <w:rFonts w:hint="eastAsia" w:ascii="宋体" w:hAnsi="宋体" w:eastAsia="宋体" w:cs="宋体"/>
                <w:i w:val="0"/>
                <w:iCs w:val="0"/>
                <w:color w:val="auto"/>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7C7B9">
            <w:pPr>
              <w:jc w:val="center"/>
              <w:rPr>
                <w:rFonts w:hint="eastAsia" w:ascii="宋体" w:hAnsi="宋体" w:eastAsia="宋体" w:cs="宋体"/>
                <w:i w:val="0"/>
                <w:iCs w:val="0"/>
                <w:color w:val="auto"/>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1DA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9276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应委托有资质的维修保养单位签订维保合同，定期对自动扶梯、自动人行道进行维保</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F58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查验自动扶梯、自动人行道的维护保养合同，重点检查合同期限、维保单位资质</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6699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无有效维护保养合同或合同不在有效期的，终止评价</w:t>
            </w:r>
          </w:p>
        </w:tc>
      </w:tr>
      <w:tr w14:paraId="68DDB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972" w:type="dxa"/>
            <w:vMerge w:val="continue"/>
            <w:tcBorders>
              <w:left w:val="single" w:color="000000" w:sz="4" w:space="0"/>
              <w:right w:val="single" w:color="000000" w:sz="4" w:space="0"/>
            </w:tcBorders>
            <w:shd w:val="clear" w:color="auto" w:fill="auto"/>
            <w:vAlign w:val="center"/>
          </w:tcPr>
          <w:p w14:paraId="4E0662D8">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248FA307">
            <w:pPr>
              <w:jc w:val="center"/>
              <w:rPr>
                <w:rFonts w:hint="eastAsia" w:ascii="宋体" w:hAnsi="宋体" w:eastAsia="宋体" w:cs="宋体"/>
                <w:i w:val="0"/>
                <w:iCs w:val="0"/>
                <w:color w:val="auto"/>
                <w:sz w:val="18"/>
                <w:szCs w:val="18"/>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BFE5E">
            <w:pPr>
              <w:jc w:val="center"/>
              <w:rPr>
                <w:rFonts w:hint="eastAsia" w:ascii="宋体" w:hAnsi="宋体" w:eastAsia="宋体" w:cs="宋体"/>
                <w:i w:val="0"/>
                <w:iCs w:val="0"/>
                <w:color w:val="auto"/>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EC825">
            <w:pPr>
              <w:jc w:val="center"/>
              <w:rPr>
                <w:rFonts w:hint="eastAsia" w:ascii="宋体" w:hAnsi="宋体" w:eastAsia="宋体" w:cs="宋体"/>
                <w:i w:val="0"/>
                <w:iCs w:val="0"/>
                <w:color w:val="auto"/>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1B8D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EEA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制定自动扶梯、自动人行道维修保养计划，组织实施并记录，应当至少每15日进行一次清洁、润滑、调整和检查；维保应符合TSG T5002、《特种设备安全监察条例》的要求</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FAA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查验周期内的维护保养记录（经维保人员、电梯安全管理人员签字确认）</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4154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无维护保养记录或维保记录不在有效期的，终止评价</w:t>
            </w:r>
          </w:p>
        </w:tc>
      </w:tr>
      <w:tr w14:paraId="763FF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72" w:type="dxa"/>
            <w:vMerge w:val="continue"/>
            <w:tcBorders>
              <w:left w:val="single" w:color="000000" w:sz="4" w:space="0"/>
              <w:right w:val="single" w:color="000000" w:sz="4" w:space="0"/>
            </w:tcBorders>
            <w:shd w:val="clear" w:color="auto" w:fill="auto"/>
            <w:vAlign w:val="center"/>
          </w:tcPr>
          <w:p w14:paraId="662B0359">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1CB6650C">
            <w:pPr>
              <w:jc w:val="center"/>
              <w:rPr>
                <w:rFonts w:hint="eastAsia" w:ascii="宋体" w:hAnsi="宋体" w:eastAsia="宋体" w:cs="宋体"/>
                <w:i w:val="0"/>
                <w:iCs w:val="0"/>
                <w:color w:val="auto"/>
                <w:sz w:val="18"/>
                <w:szCs w:val="18"/>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42815">
            <w:pPr>
              <w:jc w:val="center"/>
              <w:rPr>
                <w:rFonts w:hint="eastAsia" w:ascii="宋体" w:hAnsi="宋体" w:eastAsia="宋体" w:cs="宋体"/>
                <w:i w:val="0"/>
                <w:iCs w:val="0"/>
                <w:color w:val="auto"/>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E9308">
            <w:pPr>
              <w:jc w:val="center"/>
              <w:rPr>
                <w:rFonts w:hint="eastAsia" w:ascii="宋体" w:hAnsi="宋体" w:eastAsia="宋体" w:cs="宋体"/>
                <w:i w:val="0"/>
                <w:iCs w:val="0"/>
                <w:color w:val="auto"/>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6F1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BAB7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自动扶梯、自动人行道使用前或投入使用后30日内，应向特种设备安全监管部门申请办理使用登记，取得使用登记证；此后定期年检，并张贴新的《安全检验合格证》</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A59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查阅自动扶梯定期检验报告是否在有效期且检验结论为“合格”或者 “复检合格”</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2531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无定期检验报告或检验报告不在有效期的，终止评价</w:t>
            </w:r>
          </w:p>
        </w:tc>
      </w:tr>
      <w:tr w14:paraId="5D571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972" w:type="dxa"/>
            <w:vMerge w:val="continue"/>
            <w:tcBorders>
              <w:left w:val="single" w:color="000000" w:sz="4" w:space="0"/>
              <w:right w:val="single" w:color="000000" w:sz="4" w:space="0"/>
            </w:tcBorders>
            <w:shd w:val="clear" w:color="auto" w:fill="auto"/>
            <w:vAlign w:val="center"/>
          </w:tcPr>
          <w:p w14:paraId="21E1659D">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78F73EA4">
            <w:pPr>
              <w:jc w:val="center"/>
              <w:rPr>
                <w:rFonts w:hint="eastAsia" w:ascii="宋体" w:hAnsi="宋体" w:eastAsia="宋体" w:cs="宋体"/>
                <w:i w:val="0"/>
                <w:iCs w:val="0"/>
                <w:color w:val="auto"/>
                <w:sz w:val="18"/>
                <w:szCs w:val="18"/>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60FF3">
            <w:pPr>
              <w:jc w:val="center"/>
              <w:rPr>
                <w:rFonts w:hint="eastAsia" w:ascii="宋体" w:hAnsi="宋体" w:eastAsia="宋体" w:cs="宋体"/>
                <w:i w:val="0"/>
                <w:iCs w:val="0"/>
                <w:color w:val="auto"/>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BFE9D">
            <w:pPr>
              <w:jc w:val="center"/>
              <w:rPr>
                <w:rFonts w:hint="eastAsia" w:ascii="宋体" w:hAnsi="宋体" w:eastAsia="宋体" w:cs="宋体"/>
                <w:i w:val="0"/>
                <w:iCs w:val="0"/>
                <w:color w:val="auto"/>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ECE4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6172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根据《特种设备特种设备使用单位落实使用安全主体责任监督管理规定》规定，进行自动扶梯、自动人行道运行巡查并记录，包括《安全风险管控清单》《每日安全检查记录》《每周安全排查治理报告》《每月安全调度会议纪要》等</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43C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查验资料，重点检查巡查记录是否与标准文件规定一致且真实、规范</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F8D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有相关文件记录的，依据符合程度得0～3分，每发现一处不符合扣0.5分，扣完为止；无相关文件记录的，得0分</w:t>
            </w:r>
          </w:p>
        </w:tc>
      </w:tr>
      <w:tr w14:paraId="535C1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972" w:type="dxa"/>
            <w:vMerge w:val="continue"/>
            <w:tcBorders>
              <w:left w:val="single" w:color="000000" w:sz="4" w:space="0"/>
              <w:right w:val="single" w:color="000000" w:sz="4" w:space="0"/>
            </w:tcBorders>
            <w:shd w:val="clear" w:color="auto" w:fill="auto"/>
            <w:vAlign w:val="center"/>
          </w:tcPr>
          <w:p w14:paraId="2AE680A4">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26C0D363">
            <w:pPr>
              <w:jc w:val="center"/>
              <w:rPr>
                <w:rFonts w:hint="eastAsia" w:ascii="宋体" w:hAnsi="宋体" w:eastAsia="宋体" w:cs="宋体"/>
                <w:i w:val="0"/>
                <w:iCs w:val="0"/>
                <w:color w:val="auto"/>
                <w:sz w:val="18"/>
                <w:szCs w:val="18"/>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294E2">
            <w:pPr>
              <w:jc w:val="center"/>
              <w:rPr>
                <w:rFonts w:hint="eastAsia" w:ascii="宋体" w:hAnsi="宋体" w:eastAsia="宋体" w:cs="宋体"/>
                <w:i w:val="0"/>
                <w:iCs w:val="0"/>
                <w:color w:val="auto"/>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ADABB">
            <w:pPr>
              <w:jc w:val="center"/>
              <w:rPr>
                <w:rFonts w:hint="eastAsia" w:ascii="宋体" w:hAnsi="宋体" w:eastAsia="宋体" w:cs="宋体"/>
                <w:i w:val="0"/>
                <w:iCs w:val="0"/>
                <w:color w:val="auto"/>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124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5B38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自动扶梯、自动人行道醒目位置，张贴特种设备使用标志、安全警示标志、乘客注意事项；自动扶梯起动、运行平稳、无异响；紧急制动按钮功能正常，无损坏、无缺失</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D1A6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现场查证+现场试机</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7147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依据现场符合的程度得0～2分，每发现一处不符合扣1分，扣完为止</w:t>
            </w:r>
          </w:p>
        </w:tc>
      </w:tr>
      <w:tr w14:paraId="5F914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72" w:type="dxa"/>
            <w:vMerge w:val="continue"/>
            <w:tcBorders>
              <w:left w:val="single" w:color="000000" w:sz="4" w:space="0"/>
              <w:right w:val="single" w:color="000000" w:sz="4" w:space="0"/>
            </w:tcBorders>
            <w:shd w:val="clear" w:color="auto" w:fill="auto"/>
            <w:vAlign w:val="center"/>
          </w:tcPr>
          <w:p w14:paraId="0FCD17F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21B41CE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p>
        </w:tc>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6F492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电梯系统</w:t>
            </w: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A198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机械停车系统管理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F37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697A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建立机械停车系统管理标准，包括运行管理职责、操作规程、巡视巡查、维护保养、定期检验、安全管理、节能管理、突发事件处理等的要求</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DF3B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查验资料，重点检查制度标准文件内容是否完善适用，与服务约定、实际运行是否相符</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2D75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有相关文件的，依据符合要求程度得0～X分，每发现一处不符合扣0.5分，扣完为止；无相关文件的，得0分</w:t>
            </w:r>
          </w:p>
        </w:tc>
      </w:tr>
      <w:tr w14:paraId="466A5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72" w:type="dxa"/>
            <w:vMerge w:val="continue"/>
            <w:tcBorders>
              <w:left w:val="single" w:color="000000" w:sz="4" w:space="0"/>
              <w:right w:val="single" w:color="000000" w:sz="4" w:space="0"/>
            </w:tcBorders>
            <w:shd w:val="clear" w:color="auto" w:fill="auto"/>
            <w:vAlign w:val="center"/>
          </w:tcPr>
          <w:p w14:paraId="277C9011">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4D4A844E">
            <w:pPr>
              <w:jc w:val="center"/>
              <w:rPr>
                <w:rFonts w:hint="eastAsia" w:ascii="宋体" w:hAnsi="宋体" w:eastAsia="宋体" w:cs="宋体"/>
                <w:i w:val="0"/>
                <w:iCs w:val="0"/>
                <w:color w:val="auto"/>
                <w:sz w:val="18"/>
                <w:szCs w:val="18"/>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1BC17">
            <w:pPr>
              <w:jc w:val="center"/>
              <w:rPr>
                <w:rFonts w:hint="eastAsia" w:ascii="宋体" w:hAnsi="宋体" w:eastAsia="宋体" w:cs="宋体"/>
                <w:i w:val="0"/>
                <w:iCs w:val="0"/>
                <w:color w:val="auto"/>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650DD">
            <w:pPr>
              <w:jc w:val="center"/>
              <w:rPr>
                <w:rFonts w:hint="eastAsia" w:ascii="宋体" w:hAnsi="宋体" w:eastAsia="宋体" w:cs="宋体"/>
                <w:i w:val="0"/>
                <w:iCs w:val="0"/>
                <w:color w:val="auto"/>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C025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03CB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机械停车系统应向特种设备检验机构申请定期检验</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D13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查验资料</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A282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无定期检验报告或检验报告不在有效期的，终止评价</w:t>
            </w:r>
          </w:p>
        </w:tc>
      </w:tr>
      <w:tr w14:paraId="04CF2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72" w:type="dxa"/>
            <w:vMerge w:val="continue"/>
            <w:tcBorders>
              <w:left w:val="single" w:color="000000" w:sz="4" w:space="0"/>
              <w:right w:val="single" w:color="000000" w:sz="4" w:space="0"/>
            </w:tcBorders>
            <w:shd w:val="clear" w:color="auto" w:fill="auto"/>
            <w:vAlign w:val="center"/>
          </w:tcPr>
          <w:p w14:paraId="5C23F6AD">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4ED0C9F0">
            <w:pPr>
              <w:jc w:val="center"/>
              <w:rPr>
                <w:rFonts w:hint="eastAsia" w:ascii="宋体" w:hAnsi="宋体" w:eastAsia="宋体" w:cs="宋体"/>
                <w:i w:val="0"/>
                <w:iCs w:val="0"/>
                <w:color w:val="auto"/>
                <w:sz w:val="18"/>
                <w:szCs w:val="18"/>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30096">
            <w:pPr>
              <w:jc w:val="center"/>
              <w:rPr>
                <w:rFonts w:hint="eastAsia" w:ascii="宋体" w:hAnsi="宋体" w:eastAsia="宋体" w:cs="宋体"/>
                <w:i w:val="0"/>
                <w:iCs w:val="0"/>
                <w:color w:val="auto"/>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CEA2E">
            <w:pPr>
              <w:jc w:val="center"/>
              <w:rPr>
                <w:rFonts w:hint="eastAsia" w:ascii="宋体" w:hAnsi="宋体" w:eastAsia="宋体" w:cs="宋体"/>
                <w:i w:val="0"/>
                <w:iCs w:val="0"/>
                <w:color w:val="auto"/>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BC6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216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应委托专业维保单位对机械停车设备进行维保检查，至少每月一次、至少每年一次全面检查，做好记录</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A8D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查验资料</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1F8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有相关文件记录的，依据符合要求的程度，得0～2分，每发现一处不符合扣0.5分，扣完为止；无相关文件记录的，得0分</w:t>
            </w:r>
          </w:p>
        </w:tc>
      </w:tr>
      <w:tr w14:paraId="41198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72" w:type="dxa"/>
            <w:vMerge w:val="continue"/>
            <w:tcBorders>
              <w:left w:val="single" w:color="000000" w:sz="4" w:space="0"/>
              <w:bottom w:val="single" w:color="000000" w:sz="4" w:space="0"/>
              <w:right w:val="single" w:color="000000" w:sz="4" w:space="0"/>
            </w:tcBorders>
            <w:shd w:val="clear" w:color="auto" w:fill="auto"/>
            <w:vAlign w:val="center"/>
          </w:tcPr>
          <w:p w14:paraId="0E5BCE92">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bottom w:val="single" w:color="000000" w:sz="4" w:space="0"/>
              <w:right w:val="single" w:color="000000" w:sz="4" w:space="0"/>
            </w:tcBorders>
            <w:shd w:val="clear" w:color="auto" w:fill="auto"/>
            <w:vAlign w:val="center"/>
          </w:tcPr>
          <w:p w14:paraId="69FB63D5">
            <w:pPr>
              <w:jc w:val="center"/>
              <w:rPr>
                <w:rFonts w:hint="eastAsia" w:ascii="宋体" w:hAnsi="宋体" w:eastAsia="宋体" w:cs="宋体"/>
                <w:i w:val="0"/>
                <w:iCs w:val="0"/>
                <w:color w:val="auto"/>
                <w:sz w:val="18"/>
                <w:szCs w:val="18"/>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6F089">
            <w:pPr>
              <w:jc w:val="center"/>
              <w:rPr>
                <w:rFonts w:hint="eastAsia" w:ascii="宋体" w:hAnsi="宋体" w:eastAsia="宋体" w:cs="宋体"/>
                <w:i w:val="0"/>
                <w:iCs w:val="0"/>
                <w:color w:val="auto"/>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94375">
            <w:pPr>
              <w:jc w:val="center"/>
              <w:rPr>
                <w:rFonts w:hint="eastAsia" w:ascii="宋体" w:hAnsi="宋体" w:eastAsia="宋体" w:cs="宋体"/>
                <w:i w:val="0"/>
                <w:iCs w:val="0"/>
                <w:color w:val="auto"/>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5F9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778E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在现场设立并公示24小时电话，接到故障或事故报告及时组织实施救援和故障排除</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0AD3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查看现场公示情况</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F650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有相关公示的，依据符合要求的程度得0～2分；没有公示的，得0分</w:t>
            </w:r>
          </w:p>
        </w:tc>
      </w:tr>
      <w:tr w14:paraId="1833C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72" w:type="dxa"/>
            <w:vMerge w:val="restart"/>
            <w:tcBorders>
              <w:top w:val="single" w:color="000000" w:sz="4" w:space="0"/>
              <w:left w:val="single" w:color="000000" w:sz="4" w:space="0"/>
              <w:right w:val="single" w:color="000000" w:sz="4" w:space="0"/>
            </w:tcBorders>
            <w:shd w:val="clear" w:color="auto" w:fill="auto"/>
            <w:vAlign w:val="center"/>
          </w:tcPr>
          <w:p w14:paraId="6F5975C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服务过程（600分，不含延伸服务10分）</w:t>
            </w:r>
          </w:p>
        </w:tc>
        <w:tc>
          <w:tcPr>
            <w:tcW w:w="975" w:type="dxa"/>
            <w:vMerge w:val="restart"/>
            <w:tcBorders>
              <w:top w:val="single" w:color="000000" w:sz="4" w:space="0"/>
              <w:left w:val="single" w:color="000000" w:sz="4" w:space="0"/>
              <w:right w:val="single" w:color="000000" w:sz="4" w:space="0"/>
            </w:tcBorders>
            <w:shd w:val="clear" w:color="auto" w:fill="auto"/>
            <w:vAlign w:val="center"/>
          </w:tcPr>
          <w:p w14:paraId="0CDE227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房屋及设施设备管理（186分）</w:t>
            </w:r>
          </w:p>
        </w:tc>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EDF7E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给排水系统（20分）</w:t>
            </w: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8F58B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巡检及保养管理</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53C17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B215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①应定期巡查水泵、阀门、仪表等，无明显异味和噪声，保持给水排水管道通畅、阀门完好、仪表显示准确，水压稳定，满足正常使用；</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ADF29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现场查看+查验运行记录</w:t>
            </w:r>
          </w:p>
        </w:tc>
        <w:tc>
          <w:tcPr>
            <w:tcW w:w="33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AA590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有相关文件记录的，依据符合要求的程度，得0～10分，每发现一处不符合扣1分，扣完为止；无相关文件记录的，得0分</w:t>
            </w:r>
          </w:p>
        </w:tc>
      </w:tr>
      <w:tr w14:paraId="215B5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972" w:type="dxa"/>
            <w:vMerge w:val="continue"/>
            <w:tcBorders>
              <w:left w:val="single" w:color="000000" w:sz="4" w:space="0"/>
              <w:right w:val="single" w:color="000000" w:sz="4" w:space="0"/>
            </w:tcBorders>
            <w:shd w:val="clear" w:color="auto" w:fill="auto"/>
            <w:vAlign w:val="center"/>
          </w:tcPr>
          <w:p w14:paraId="668C074D">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7F465CEE">
            <w:pPr>
              <w:jc w:val="center"/>
              <w:rPr>
                <w:rFonts w:hint="eastAsia" w:ascii="宋体" w:hAnsi="宋体" w:eastAsia="宋体" w:cs="宋体"/>
                <w:i w:val="0"/>
                <w:iCs w:val="0"/>
                <w:color w:val="auto"/>
                <w:sz w:val="18"/>
                <w:szCs w:val="18"/>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04F0D">
            <w:pPr>
              <w:jc w:val="center"/>
              <w:rPr>
                <w:rFonts w:hint="eastAsia" w:ascii="宋体" w:hAnsi="宋体" w:eastAsia="宋体" w:cs="宋体"/>
                <w:i w:val="0"/>
                <w:iCs w:val="0"/>
                <w:color w:val="auto"/>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A173C">
            <w:pPr>
              <w:jc w:val="center"/>
              <w:rPr>
                <w:rFonts w:hint="eastAsia" w:ascii="宋体" w:hAnsi="宋体" w:eastAsia="宋体" w:cs="宋体"/>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85553">
            <w:pPr>
              <w:jc w:val="center"/>
              <w:rPr>
                <w:rFonts w:hint="eastAsia" w:ascii="宋体" w:hAnsi="宋体" w:eastAsia="宋体" w:cs="宋体"/>
                <w:i w:val="0"/>
                <w:iCs w:val="0"/>
                <w:color w:val="auto"/>
                <w:sz w:val="18"/>
                <w:szCs w:val="18"/>
                <w:u w:val="none"/>
              </w:rPr>
            </w:pP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2C92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②</w:t>
            </w:r>
            <w:r>
              <w:rPr>
                <w:rFonts w:hint="eastAsia" w:ascii="宋体" w:hAnsi="宋体" w:eastAsia="宋体" w:cs="宋体"/>
                <w:i w:val="0"/>
                <w:iCs w:val="0"/>
                <w:color w:val="auto"/>
                <w:kern w:val="0"/>
                <w:sz w:val="18"/>
                <w:szCs w:val="18"/>
                <w:u w:val="none"/>
                <w:lang w:val="en-US" w:eastAsia="zh-CN" w:bidi="ar"/>
              </w:rPr>
              <w:t>应定期除锈刷新水泵、管道，润滑轴承，管道应无明显锈蚀、滴漏，排水、排污管道应通畅，无堵塞外溢现象；</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B36DD">
            <w:pPr>
              <w:jc w:val="left"/>
              <w:rPr>
                <w:rFonts w:hint="eastAsia" w:ascii="宋体" w:hAnsi="宋体" w:eastAsia="宋体" w:cs="宋体"/>
                <w:i w:val="0"/>
                <w:iCs w:val="0"/>
                <w:color w:val="auto"/>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D47EB">
            <w:pPr>
              <w:jc w:val="left"/>
              <w:rPr>
                <w:rFonts w:hint="eastAsia" w:ascii="宋体" w:hAnsi="宋体" w:eastAsia="宋体" w:cs="宋体"/>
                <w:i w:val="0"/>
                <w:iCs w:val="0"/>
                <w:color w:val="auto"/>
                <w:sz w:val="18"/>
                <w:szCs w:val="18"/>
                <w:u w:val="none"/>
              </w:rPr>
            </w:pPr>
          </w:p>
        </w:tc>
      </w:tr>
      <w:tr w14:paraId="472EC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972" w:type="dxa"/>
            <w:vMerge w:val="continue"/>
            <w:tcBorders>
              <w:left w:val="single" w:color="000000" w:sz="4" w:space="0"/>
              <w:right w:val="single" w:color="000000" w:sz="4" w:space="0"/>
            </w:tcBorders>
            <w:shd w:val="clear" w:color="auto" w:fill="auto"/>
            <w:vAlign w:val="center"/>
          </w:tcPr>
          <w:p w14:paraId="4D6A0497">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02ED825F">
            <w:pPr>
              <w:jc w:val="center"/>
              <w:rPr>
                <w:rFonts w:hint="eastAsia" w:ascii="宋体" w:hAnsi="宋体" w:eastAsia="宋体" w:cs="宋体"/>
                <w:i w:val="0"/>
                <w:iCs w:val="0"/>
                <w:color w:val="auto"/>
                <w:sz w:val="18"/>
                <w:szCs w:val="18"/>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91C6A">
            <w:pPr>
              <w:jc w:val="center"/>
              <w:rPr>
                <w:rFonts w:hint="eastAsia" w:ascii="宋体" w:hAnsi="宋体" w:eastAsia="宋体" w:cs="宋体"/>
                <w:i w:val="0"/>
                <w:iCs w:val="0"/>
                <w:color w:val="auto"/>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4FCBD">
            <w:pPr>
              <w:jc w:val="center"/>
              <w:rPr>
                <w:rFonts w:hint="eastAsia" w:ascii="宋体" w:hAnsi="宋体" w:eastAsia="宋体" w:cs="宋体"/>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99E99">
            <w:pPr>
              <w:jc w:val="center"/>
              <w:rPr>
                <w:rFonts w:hint="eastAsia" w:ascii="宋体" w:hAnsi="宋体" w:eastAsia="宋体" w:cs="宋体"/>
                <w:i w:val="0"/>
                <w:iCs w:val="0"/>
                <w:color w:val="auto"/>
                <w:sz w:val="18"/>
                <w:szCs w:val="18"/>
                <w:u w:val="none"/>
              </w:rPr>
            </w:pP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D0A8">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③</w:t>
            </w:r>
            <w:r>
              <w:rPr>
                <w:rFonts w:hint="eastAsia" w:ascii="宋体" w:hAnsi="宋体" w:eastAsia="宋体" w:cs="宋体"/>
                <w:i w:val="0"/>
                <w:iCs w:val="0"/>
                <w:color w:val="auto"/>
                <w:kern w:val="0"/>
                <w:sz w:val="18"/>
                <w:szCs w:val="18"/>
                <w:u w:val="none"/>
                <w:lang w:val="en-US" w:eastAsia="zh-CN" w:bidi="ar"/>
              </w:rPr>
              <w:t>水箱、蓄水池检查口盖板应保持完好并加锁，溢流管口、通气⑤口应安装防护罩、防护网，并应保持完好；</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CC3A3">
            <w:pPr>
              <w:jc w:val="left"/>
              <w:rPr>
                <w:rFonts w:hint="eastAsia" w:ascii="宋体" w:hAnsi="宋体" w:eastAsia="宋体" w:cs="宋体"/>
                <w:i w:val="0"/>
                <w:iCs w:val="0"/>
                <w:color w:val="auto"/>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9FF7D">
            <w:pPr>
              <w:jc w:val="left"/>
              <w:rPr>
                <w:rFonts w:hint="eastAsia" w:ascii="宋体" w:hAnsi="宋体" w:eastAsia="宋体" w:cs="宋体"/>
                <w:i w:val="0"/>
                <w:iCs w:val="0"/>
                <w:color w:val="auto"/>
                <w:sz w:val="18"/>
                <w:szCs w:val="18"/>
                <w:u w:val="none"/>
              </w:rPr>
            </w:pPr>
          </w:p>
        </w:tc>
      </w:tr>
      <w:tr w14:paraId="7907D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2" w:type="dxa"/>
            <w:vMerge w:val="continue"/>
            <w:tcBorders>
              <w:left w:val="single" w:color="000000" w:sz="4" w:space="0"/>
              <w:right w:val="single" w:color="000000" w:sz="4" w:space="0"/>
            </w:tcBorders>
            <w:shd w:val="clear" w:color="auto" w:fill="auto"/>
            <w:vAlign w:val="center"/>
          </w:tcPr>
          <w:p w14:paraId="07BA31C8">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46DFC932">
            <w:pPr>
              <w:jc w:val="center"/>
              <w:rPr>
                <w:rFonts w:hint="eastAsia" w:ascii="宋体" w:hAnsi="宋体" w:eastAsia="宋体" w:cs="宋体"/>
                <w:i w:val="0"/>
                <w:iCs w:val="0"/>
                <w:color w:val="auto"/>
                <w:sz w:val="18"/>
                <w:szCs w:val="18"/>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93FB3">
            <w:pPr>
              <w:jc w:val="center"/>
              <w:rPr>
                <w:rFonts w:hint="eastAsia" w:ascii="宋体" w:hAnsi="宋体" w:eastAsia="宋体" w:cs="宋体"/>
                <w:i w:val="0"/>
                <w:iCs w:val="0"/>
                <w:color w:val="auto"/>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F1AED">
            <w:pPr>
              <w:jc w:val="center"/>
              <w:rPr>
                <w:rFonts w:hint="eastAsia" w:ascii="宋体" w:hAnsi="宋体" w:eastAsia="宋体" w:cs="宋体"/>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62193">
            <w:pPr>
              <w:jc w:val="center"/>
              <w:rPr>
                <w:rFonts w:hint="eastAsia" w:ascii="宋体" w:hAnsi="宋体" w:eastAsia="宋体" w:cs="宋体"/>
                <w:i w:val="0"/>
                <w:iCs w:val="0"/>
                <w:color w:val="auto"/>
                <w:sz w:val="18"/>
                <w:szCs w:val="18"/>
                <w:u w:val="none"/>
              </w:rPr>
            </w:pP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4AAB">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④</w:t>
            </w:r>
            <w:r>
              <w:rPr>
                <w:rFonts w:hint="eastAsia" w:ascii="宋体" w:hAnsi="宋体" w:eastAsia="宋体" w:cs="宋体"/>
                <w:i w:val="0"/>
                <w:iCs w:val="0"/>
                <w:color w:val="auto"/>
                <w:kern w:val="0"/>
                <w:sz w:val="18"/>
                <w:szCs w:val="18"/>
                <w:u w:val="none"/>
                <w:lang w:val="en-US" w:eastAsia="zh-CN" w:bidi="ar"/>
              </w:rPr>
              <w:t>应定期清理集水坑、隔油池、化粪池等</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D8903">
            <w:pPr>
              <w:jc w:val="left"/>
              <w:rPr>
                <w:rFonts w:hint="eastAsia" w:ascii="宋体" w:hAnsi="宋体" w:eastAsia="宋体" w:cs="宋体"/>
                <w:i w:val="0"/>
                <w:iCs w:val="0"/>
                <w:color w:val="auto"/>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F115C">
            <w:pPr>
              <w:jc w:val="left"/>
              <w:rPr>
                <w:rFonts w:hint="eastAsia" w:ascii="宋体" w:hAnsi="宋体" w:eastAsia="宋体" w:cs="宋体"/>
                <w:i w:val="0"/>
                <w:iCs w:val="0"/>
                <w:color w:val="auto"/>
                <w:sz w:val="18"/>
                <w:szCs w:val="18"/>
                <w:u w:val="none"/>
              </w:rPr>
            </w:pPr>
          </w:p>
        </w:tc>
      </w:tr>
      <w:tr w14:paraId="10140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72" w:type="dxa"/>
            <w:vMerge w:val="continue"/>
            <w:tcBorders>
              <w:left w:val="single" w:color="000000" w:sz="4" w:space="0"/>
              <w:right w:val="single" w:color="000000" w:sz="4" w:space="0"/>
            </w:tcBorders>
            <w:shd w:val="clear" w:color="auto" w:fill="auto"/>
            <w:vAlign w:val="center"/>
          </w:tcPr>
          <w:p w14:paraId="6C8E248F">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032D6D35">
            <w:pPr>
              <w:jc w:val="center"/>
              <w:rPr>
                <w:rFonts w:hint="eastAsia" w:ascii="宋体" w:hAnsi="宋体" w:eastAsia="宋体" w:cs="宋体"/>
                <w:i w:val="0"/>
                <w:iCs w:val="0"/>
                <w:color w:val="auto"/>
                <w:sz w:val="18"/>
                <w:szCs w:val="18"/>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696B5">
            <w:pPr>
              <w:jc w:val="center"/>
              <w:rPr>
                <w:rFonts w:hint="eastAsia" w:ascii="宋体" w:hAnsi="宋体" w:eastAsia="宋体" w:cs="宋体"/>
                <w:i w:val="0"/>
                <w:iCs w:val="0"/>
                <w:color w:val="auto"/>
                <w:sz w:val="18"/>
                <w:szCs w:val="18"/>
                <w:u w:val="none"/>
              </w:rPr>
            </w:pP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0B834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二次供水管理</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C5B66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A394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①二次供水卫生应符合GB 17051要求，供水管理和清洗消毒人员应取得相关健康证明</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384D4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现场查看+查验记录及报告</w:t>
            </w:r>
          </w:p>
        </w:tc>
        <w:tc>
          <w:tcPr>
            <w:tcW w:w="33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4A495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无水质检测报告或报告不在有效期的，得0分。</w:t>
            </w:r>
          </w:p>
        </w:tc>
      </w:tr>
      <w:tr w14:paraId="04912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72" w:type="dxa"/>
            <w:vMerge w:val="continue"/>
            <w:tcBorders>
              <w:left w:val="single" w:color="000000" w:sz="4" w:space="0"/>
              <w:right w:val="single" w:color="000000" w:sz="4" w:space="0"/>
            </w:tcBorders>
            <w:shd w:val="clear" w:color="auto" w:fill="auto"/>
            <w:vAlign w:val="center"/>
          </w:tcPr>
          <w:p w14:paraId="0A67F142">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53E6EFC8">
            <w:pPr>
              <w:jc w:val="center"/>
              <w:rPr>
                <w:rFonts w:hint="eastAsia" w:ascii="宋体" w:hAnsi="宋体" w:eastAsia="宋体" w:cs="宋体"/>
                <w:i w:val="0"/>
                <w:iCs w:val="0"/>
                <w:color w:val="auto"/>
                <w:sz w:val="18"/>
                <w:szCs w:val="18"/>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DE2B5">
            <w:pPr>
              <w:jc w:val="center"/>
              <w:rPr>
                <w:rFonts w:hint="eastAsia" w:ascii="宋体" w:hAnsi="宋体" w:eastAsia="宋体" w:cs="宋体"/>
                <w:i w:val="0"/>
                <w:iCs w:val="0"/>
                <w:color w:val="auto"/>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D2790">
            <w:pPr>
              <w:jc w:val="center"/>
              <w:rPr>
                <w:rFonts w:hint="eastAsia" w:ascii="宋体" w:hAnsi="宋体" w:eastAsia="宋体" w:cs="宋体"/>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8F332">
            <w:pPr>
              <w:jc w:val="center"/>
              <w:rPr>
                <w:rFonts w:hint="eastAsia" w:ascii="宋体" w:hAnsi="宋体" w:eastAsia="宋体" w:cs="宋体"/>
                <w:i w:val="0"/>
                <w:iCs w:val="0"/>
                <w:color w:val="auto"/>
                <w:sz w:val="18"/>
                <w:szCs w:val="18"/>
                <w:u w:val="none"/>
              </w:rPr>
            </w:pP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62D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②二次供水水箱、蓄水池应定期清洗消毒，并应取得水质检验报告，水质检验每年不应少于2次</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C96FC">
            <w:pPr>
              <w:jc w:val="left"/>
              <w:rPr>
                <w:rFonts w:hint="eastAsia" w:ascii="宋体" w:hAnsi="宋体" w:eastAsia="宋体" w:cs="宋体"/>
                <w:i w:val="0"/>
                <w:iCs w:val="0"/>
                <w:color w:val="auto"/>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F53F6">
            <w:pPr>
              <w:jc w:val="left"/>
              <w:rPr>
                <w:rFonts w:hint="eastAsia" w:ascii="宋体" w:hAnsi="宋体" w:eastAsia="宋体" w:cs="宋体"/>
                <w:i w:val="0"/>
                <w:iCs w:val="0"/>
                <w:color w:val="auto"/>
                <w:sz w:val="18"/>
                <w:szCs w:val="18"/>
                <w:u w:val="none"/>
              </w:rPr>
            </w:pPr>
          </w:p>
        </w:tc>
      </w:tr>
      <w:tr w14:paraId="191CC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72" w:type="dxa"/>
            <w:vMerge w:val="continue"/>
            <w:tcBorders>
              <w:left w:val="single" w:color="000000" w:sz="4" w:space="0"/>
              <w:right w:val="single" w:color="000000" w:sz="4" w:space="0"/>
            </w:tcBorders>
            <w:shd w:val="clear" w:color="auto" w:fill="auto"/>
            <w:vAlign w:val="center"/>
          </w:tcPr>
          <w:p w14:paraId="0D12121C">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383A82C1">
            <w:pPr>
              <w:jc w:val="center"/>
              <w:rPr>
                <w:rFonts w:hint="eastAsia" w:ascii="宋体" w:hAnsi="宋体" w:eastAsia="宋体" w:cs="宋体"/>
                <w:i w:val="0"/>
                <w:iCs w:val="0"/>
                <w:color w:val="auto"/>
                <w:sz w:val="18"/>
                <w:szCs w:val="18"/>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E4CF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空调通风系统（25分）</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DF3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巡检及保养管理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656A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AB23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应建立空调系统运行管理标准，包括管理职责、操作规程、安全管理、巡视巡查、维护保养、突发事件处理等的要求</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9CAD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查验资料，重点检查制度标准文件内容是否完善适用，与服务约定、实际运行是否相符</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F4D2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有相关文件的，依据完整程度得0～5分，每发现一处不符合扣1分，扣完为止；无相关文件的，得0分</w:t>
            </w:r>
          </w:p>
        </w:tc>
      </w:tr>
      <w:tr w14:paraId="06CFF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972" w:type="dxa"/>
            <w:vMerge w:val="continue"/>
            <w:tcBorders>
              <w:left w:val="single" w:color="000000" w:sz="4" w:space="0"/>
              <w:right w:val="single" w:color="000000" w:sz="4" w:space="0"/>
            </w:tcBorders>
            <w:shd w:val="clear" w:color="auto" w:fill="auto"/>
            <w:vAlign w:val="center"/>
          </w:tcPr>
          <w:p w14:paraId="5790815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2A7EA64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p>
        </w:tc>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457500">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空调通风系统</w:t>
            </w: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8C41A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巡检及保养管理</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FAB38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ED7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①</w:t>
            </w:r>
            <w:r>
              <w:rPr>
                <w:rFonts w:hint="eastAsia" w:ascii="宋体" w:hAnsi="宋体" w:eastAsia="宋体" w:cs="宋体"/>
                <w:i w:val="0"/>
                <w:iCs w:val="0"/>
                <w:color w:val="auto"/>
                <w:kern w:val="0"/>
                <w:sz w:val="18"/>
                <w:szCs w:val="18"/>
                <w:u w:val="none"/>
                <w:lang w:val="en-US" w:eastAsia="zh-CN" w:bidi="ar"/>
              </w:rPr>
              <w:t>空调机房保持锁闭，钥匙专人管理；设置挡鼠板(≥50cm)及防鼠装置；通风口设防小动物网(网眼＜10mm)；配备消防器材，取用方便，摆放规范、标识清晰，定期巡检；配置温湿度计；</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E2E2D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查看现场+查验检测报告</w:t>
            </w:r>
          </w:p>
        </w:tc>
        <w:tc>
          <w:tcPr>
            <w:tcW w:w="33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17D40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依据现场符合程度得0～10分，每发现一处不符合扣1分，扣完为止；无相关文件的，得0分</w:t>
            </w:r>
          </w:p>
        </w:tc>
      </w:tr>
      <w:tr w14:paraId="30DAE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72" w:type="dxa"/>
            <w:vMerge w:val="continue"/>
            <w:tcBorders>
              <w:left w:val="single" w:color="000000" w:sz="4" w:space="0"/>
              <w:right w:val="single" w:color="000000" w:sz="4" w:space="0"/>
            </w:tcBorders>
            <w:shd w:val="clear" w:color="auto" w:fill="auto"/>
            <w:vAlign w:val="center"/>
          </w:tcPr>
          <w:p w14:paraId="3AB9C498">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48C2C204">
            <w:pPr>
              <w:jc w:val="center"/>
              <w:rPr>
                <w:rFonts w:hint="eastAsia" w:ascii="宋体" w:hAnsi="宋体" w:eastAsia="宋体" w:cs="宋体"/>
                <w:i w:val="0"/>
                <w:iCs w:val="0"/>
                <w:color w:val="auto"/>
                <w:sz w:val="18"/>
                <w:szCs w:val="18"/>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14296">
            <w:pPr>
              <w:jc w:val="center"/>
              <w:rPr>
                <w:rFonts w:hint="eastAsia" w:ascii="宋体" w:hAnsi="宋体" w:eastAsia="宋体" w:cs="宋体"/>
                <w:b/>
                <w:bCs/>
                <w:i w:val="0"/>
                <w:iCs w:val="0"/>
                <w:color w:val="auto"/>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30B93">
            <w:pPr>
              <w:jc w:val="center"/>
              <w:rPr>
                <w:rFonts w:hint="eastAsia" w:ascii="宋体" w:hAnsi="宋体" w:eastAsia="宋体" w:cs="宋体"/>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C5D61">
            <w:pPr>
              <w:jc w:val="center"/>
              <w:rPr>
                <w:rFonts w:hint="eastAsia" w:ascii="宋体" w:hAnsi="宋体" w:eastAsia="宋体" w:cs="宋体"/>
                <w:i w:val="0"/>
                <w:iCs w:val="0"/>
                <w:color w:val="auto"/>
                <w:sz w:val="18"/>
                <w:szCs w:val="18"/>
                <w:u w:val="none"/>
              </w:rPr>
            </w:pP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589C">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②</w:t>
            </w:r>
            <w:r>
              <w:rPr>
                <w:rFonts w:hint="eastAsia" w:ascii="宋体" w:hAnsi="宋体" w:eastAsia="宋体" w:cs="宋体"/>
                <w:i w:val="0"/>
                <w:iCs w:val="0"/>
                <w:color w:val="auto"/>
                <w:kern w:val="0"/>
                <w:sz w:val="18"/>
                <w:szCs w:val="18"/>
                <w:u w:val="none"/>
                <w:lang w:val="en-US" w:eastAsia="zh-CN" w:bidi="ar"/>
              </w:rPr>
              <w:t>严禁吸烟，严禁存放易燃易爆等危险物品；</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A35B8">
            <w:pPr>
              <w:jc w:val="left"/>
              <w:rPr>
                <w:rFonts w:hint="eastAsia" w:ascii="宋体" w:hAnsi="宋体" w:eastAsia="宋体" w:cs="宋体"/>
                <w:i w:val="0"/>
                <w:iCs w:val="0"/>
                <w:color w:val="auto"/>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C47D3">
            <w:pPr>
              <w:jc w:val="left"/>
              <w:rPr>
                <w:rFonts w:hint="eastAsia" w:ascii="宋体" w:hAnsi="宋体" w:eastAsia="宋体" w:cs="宋体"/>
                <w:i w:val="0"/>
                <w:iCs w:val="0"/>
                <w:color w:val="auto"/>
                <w:sz w:val="18"/>
                <w:szCs w:val="18"/>
                <w:u w:val="none"/>
              </w:rPr>
            </w:pPr>
          </w:p>
        </w:tc>
      </w:tr>
      <w:tr w14:paraId="33AA8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972" w:type="dxa"/>
            <w:vMerge w:val="continue"/>
            <w:tcBorders>
              <w:left w:val="single" w:color="000000" w:sz="4" w:space="0"/>
              <w:right w:val="single" w:color="000000" w:sz="4" w:space="0"/>
            </w:tcBorders>
            <w:shd w:val="clear" w:color="auto" w:fill="auto"/>
            <w:vAlign w:val="center"/>
          </w:tcPr>
          <w:p w14:paraId="6A290F4C">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5E3DBFDA">
            <w:pPr>
              <w:jc w:val="center"/>
              <w:rPr>
                <w:rFonts w:hint="eastAsia" w:ascii="宋体" w:hAnsi="宋体" w:eastAsia="宋体" w:cs="宋体"/>
                <w:i w:val="0"/>
                <w:iCs w:val="0"/>
                <w:color w:val="auto"/>
                <w:sz w:val="18"/>
                <w:szCs w:val="18"/>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A695A">
            <w:pPr>
              <w:jc w:val="center"/>
              <w:rPr>
                <w:rFonts w:hint="eastAsia" w:ascii="宋体" w:hAnsi="宋体" w:eastAsia="宋体" w:cs="宋体"/>
                <w:b/>
                <w:bCs/>
                <w:i w:val="0"/>
                <w:iCs w:val="0"/>
                <w:color w:val="auto"/>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13815">
            <w:pPr>
              <w:jc w:val="center"/>
              <w:rPr>
                <w:rFonts w:hint="eastAsia" w:ascii="宋体" w:hAnsi="宋体" w:eastAsia="宋体" w:cs="宋体"/>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0E85C">
            <w:pPr>
              <w:jc w:val="center"/>
              <w:rPr>
                <w:rFonts w:hint="eastAsia" w:ascii="宋体" w:hAnsi="宋体" w:eastAsia="宋体" w:cs="宋体"/>
                <w:i w:val="0"/>
                <w:iCs w:val="0"/>
                <w:color w:val="auto"/>
                <w:sz w:val="18"/>
                <w:szCs w:val="18"/>
                <w:u w:val="none"/>
              </w:rPr>
            </w:pP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9F2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③</w:t>
            </w:r>
            <w:r>
              <w:rPr>
                <w:rFonts w:hint="eastAsia" w:ascii="宋体" w:hAnsi="宋体" w:eastAsia="宋体" w:cs="宋体"/>
                <w:i w:val="0"/>
                <w:iCs w:val="0"/>
                <w:color w:val="auto"/>
                <w:kern w:val="0"/>
                <w:sz w:val="18"/>
                <w:szCs w:val="18"/>
                <w:u w:val="none"/>
                <w:lang w:val="en-US" w:eastAsia="zh-CN" w:bidi="ar"/>
              </w:rPr>
              <w:t>空调设施设备应运行正常，仪表完好有效；空调主机有专人值守，定时巡查主机运行情况，记录运行参数并存档</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971B9">
            <w:pPr>
              <w:jc w:val="left"/>
              <w:rPr>
                <w:rFonts w:hint="eastAsia" w:ascii="宋体" w:hAnsi="宋体" w:eastAsia="宋体" w:cs="宋体"/>
                <w:i w:val="0"/>
                <w:iCs w:val="0"/>
                <w:color w:val="auto"/>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9FCD4">
            <w:pPr>
              <w:jc w:val="left"/>
              <w:rPr>
                <w:rFonts w:hint="eastAsia" w:ascii="宋体" w:hAnsi="宋体" w:eastAsia="宋体" w:cs="宋体"/>
                <w:i w:val="0"/>
                <w:iCs w:val="0"/>
                <w:color w:val="auto"/>
                <w:sz w:val="18"/>
                <w:szCs w:val="18"/>
                <w:u w:val="none"/>
              </w:rPr>
            </w:pPr>
          </w:p>
        </w:tc>
      </w:tr>
      <w:tr w14:paraId="5A0A3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72" w:type="dxa"/>
            <w:vMerge w:val="continue"/>
            <w:tcBorders>
              <w:left w:val="single" w:color="000000" w:sz="4" w:space="0"/>
              <w:bottom w:val="single" w:color="000000" w:sz="4" w:space="0"/>
              <w:right w:val="single" w:color="000000" w:sz="4" w:space="0"/>
            </w:tcBorders>
            <w:shd w:val="clear" w:color="auto" w:fill="auto"/>
            <w:vAlign w:val="center"/>
          </w:tcPr>
          <w:p w14:paraId="0DA76728">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bottom w:val="single" w:color="000000" w:sz="4" w:space="0"/>
              <w:right w:val="single" w:color="000000" w:sz="4" w:space="0"/>
            </w:tcBorders>
            <w:shd w:val="clear" w:color="auto" w:fill="auto"/>
            <w:vAlign w:val="center"/>
          </w:tcPr>
          <w:p w14:paraId="1450E251">
            <w:pPr>
              <w:jc w:val="center"/>
              <w:rPr>
                <w:rFonts w:hint="eastAsia" w:ascii="宋体" w:hAnsi="宋体" w:eastAsia="宋体" w:cs="宋体"/>
                <w:i w:val="0"/>
                <w:iCs w:val="0"/>
                <w:color w:val="auto"/>
                <w:sz w:val="18"/>
                <w:szCs w:val="18"/>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641D6">
            <w:pPr>
              <w:jc w:val="center"/>
              <w:rPr>
                <w:rFonts w:hint="eastAsia" w:ascii="宋体" w:hAnsi="宋体" w:eastAsia="宋体" w:cs="宋体"/>
                <w:b/>
                <w:bCs/>
                <w:i w:val="0"/>
                <w:iCs w:val="0"/>
                <w:color w:val="auto"/>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6C9FF">
            <w:pPr>
              <w:jc w:val="center"/>
              <w:rPr>
                <w:rFonts w:hint="eastAsia" w:ascii="宋体" w:hAnsi="宋体" w:eastAsia="宋体" w:cs="宋体"/>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F8E82">
            <w:pPr>
              <w:jc w:val="center"/>
              <w:rPr>
                <w:rFonts w:hint="eastAsia" w:ascii="宋体" w:hAnsi="宋体" w:eastAsia="宋体" w:cs="宋体"/>
                <w:i w:val="0"/>
                <w:iCs w:val="0"/>
                <w:color w:val="auto"/>
                <w:sz w:val="18"/>
                <w:szCs w:val="18"/>
                <w:u w:val="none"/>
              </w:rPr>
            </w:pP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8D39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④</w:t>
            </w:r>
            <w:r>
              <w:rPr>
                <w:rFonts w:hint="eastAsia" w:ascii="宋体" w:hAnsi="宋体" w:eastAsia="宋体" w:cs="宋体"/>
                <w:i w:val="0"/>
                <w:iCs w:val="0"/>
                <w:color w:val="auto"/>
                <w:kern w:val="0"/>
                <w:sz w:val="18"/>
                <w:szCs w:val="18"/>
                <w:u w:val="none"/>
                <w:lang w:val="en-US" w:eastAsia="zh-CN" w:bidi="ar"/>
              </w:rPr>
              <w:t>定期检查空调系统管道、风道、阀件及仪表、水泵、电机、冷却塔、膨胀水箱等设备，定期检测冷却塔、盘管风机及出风设备的运行噪音、气流速度；</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2ADA9">
            <w:pPr>
              <w:jc w:val="left"/>
              <w:rPr>
                <w:rFonts w:hint="eastAsia" w:ascii="宋体" w:hAnsi="宋体" w:eastAsia="宋体" w:cs="宋体"/>
                <w:i w:val="0"/>
                <w:iCs w:val="0"/>
                <w:color w:val="auto"/>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19C03">
            <w:pPr>
              <w:jc w:val="left"/>
              <w:rPr>
                <w:rFonts w:hint="eastAsia" w:ascii="宋体" w:hAnsi="宋体" w:eastAsia="宋体" w:cs="宋体"/>
                <w:i w:val="0"/>
                <w:iCs w:val="0"/>
                <w:color w:val="auto"/>
                <w:sz w:val="18"/>
                <w:szCs w:val="18"/>
                <w:u w:val="none"/>
              </w:rPr>
            </w:pPr>
          </w:p>
        </w:tc>
      </w:tr>
      <w:tr w14:paraId="4FCDC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972" w:type="dxa"/>
            <w:vMerge w:val="restart"/>
            <w:tcBorders>
              <w:top w:val="single" w:color="000000" w:sz="4" w:space="0"/>
              <w:left w:val="single" w:color="000000" w:sz="4" w:space="0"/>
              <w:right w:val="single" w:color="000000" w:sz="4" w:space="0"/>
            </w:tcBorders>
            <w:shd w:val="clear" w:color="auto" w:fill="auto"/>
            <w:vAlign w:val="center"/>
          </w:tcPr>
          <w:p w14:paraId="49AEA9E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服务过程（600分，不含延伸服务10分）</w:t>
            </w:r>
          </w:p>
        </w:tc>
        <w:tc>
          <w:tcPr>
            <w:tcW w:w="975" w:type="dxa"/>
            <w:vMerge w:val="restart"/>
            <w:tcBorders>
              <w:top w:val="single" w:color="000000" w:sz="4" w:space="0"/>
              <w:left w:val="single" w:color="000000" w:sz="4" w:space="0"/>
              <w:right w:val="single" w:color="000000" w:sz="4" w:space="0"/>
            </w:tcBorders>
            <w:shd w:val="clear" w:color="auto" w:fill="auto"/>
            <w:vAlign w:val="center"/>
          </w:tcPr>
          <w:p w14:paraId="457AD13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房屋及设施设备管理（186分）</w:t>
            </w: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96E64">
            <w:pPr>
              <w:jc w:val="center"/>
              <w:rPr>
                <w:rFonts w:hint="eastAsia" w:ascii="宋体" w:hAnsi="宋体" w:eastAsia="宋体" w:cs="宋体"/>
                <w:b/>
                <w:bCs/>
                <w:i w:val="0"/>
                <w:iCs w:val="0"/>
                <w:color w:val="auto"/>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17E4B">
            <w:pPr>
              <w:jc w:val="center"/>
              <w:rPr>
                <w:rFonts w:hint="eastAsia" w:ascii="宋体" w:hAnsi="宋体" w:eastAsia="宋体" w:cs="宋体"/>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03520">
            <w:pPr>
              <w:jc w:val="center"/>
              <w:rPr>
                <w:rFonts w:hint="eastAsia" w:ascii="宋体" w:hAnsi="宋体" w:eastAsia="宋体" w:cs="宋体"/>
                <w:i w:val="0"/>
                <w:iCs w:val="0"/>
                <w:color w:val="auto"/>
                <w:sz w:val="18"/>
                <w:szCs w:val="18"/>
                <w:u w:val="none"/>
              </w:rPr>
            </w:pP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BE2B1">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⑤</w:t>
            </w:r>
            <w:r>
              <w:rPr>
                <w:rFonts w:hint="eastAsia" w:ascii="宋体" w:hAnsi="宋体" w:eastAsia="宋体" w:cs="宋体"/>
                <w:i w:val="0"/>
                <w:iCs w:val="0"/>
                <w:color w:val="auto"/>
                <w:kern w:val="0"/>
                <w:sz w:val="18"/>
                <w:szCs w:val="18"/>
                <w:u w:val="none"/>
                <w:lang w:val="en-US" w:eastAsia="zh-CN" w:bidi="ar"/>
              </w:rPr>
              <w:t>根据WS 394的要求，集中空调通风系统每年至少进行一次全项卫生指标检测，包括冷却水、冷凝水、喷雾或冷水蒸发加湿方式用水的卫生质量检测</w:t>
            </w:r>
            <w:r>
              <w:rPr>
                <w:rFonts w:hint="default" w:ascii="Times New Roman" w:hAnsi="Times New Roman" w:eastAsia="微软雅黑" w:cs="Times New Roman"/>
                <w:i w:val="0"/>
                <w:iCs w:val="0"/>
                <w:color w:val="auto"/>
                <w:kern w:val="0"/>
                <w:sz w:val="18"/>
                <w:szCs w:val="18"/>
                <w:u w:val="none"/>
                <w:lang w:val="en-US" w:eastAsia="zh-CN" w:bidi="ar"/>
              </w:rPr>
              <w:t>‌</w:t>
            </w:r>
            <w:r>
              <w:rPr>
                <w:rFonts w:hint="eastAsia" w:ascii="宋体" w:hAnsi="宋体" w:eastAsia="宋体" w:cs="宋体"/>
                <w:i w:val="0"/>
                <w:iCs w:val="0"/>
                <w:color w:val="auto"/>
                <w:kern w:val="0"/>
                <w:sz w:val="18"/>
                <w:szCs w:val="18"/>
                <w:u w:val="none"/>
                <w:lang w:val="en-US" w:eastAsia="zh-CN" w:bidi="ar"/>
              </w:rPr>
              <w:t>；</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FCCE7">
            <w:pPr>
              <w:jc w:val="left"/>
              <w:rPr>
                <w:rFonts w:hint="eastAsia" w:ascii="宋体" w:hAnsi="宋体" w:eastAsia="宋体" w:cs="宋体"/>
                <w:i w:val="0"/>
                <w:iCs w:val="0"/>
                <w:color w:val="auto"/>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2F09A">
            <w:pPr>
              <w:jc w:val="left"/>
              <w:rPr>
                <w:rFonts w:hint="eastAsia" w:ascii="宋体" w:hAnsi="宋体" w:eastAsia="宋体" w:cs="宋体"/>
                <w:i w:val="0"/>
                <w:iCs w:val="0"/>
                <w:color w:val="auto"/>
                <w:sz w:val="18"/>
                <w:szCs w:val="18"/>
                <w:u w:val="none"/>
              </w:rPr>
            </w:pPr>
          </w:p>
        </w:tc>
      </w:tr>
      <w:tr w14:paraId="4E52D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972" w:type="dxa"/>
            <w:vMerge w:val="continue"/>
            <w:tcBorders>
              <w:left w:val="single" w:color="000000" w:sz="4" w:space="0"/>
              <w:right w:val="single" w:color="000000" w:sz="4" w:space="0"/>
            </w:tcBorders>
            <w:shd w:val="clear" w:color="auto" w:fill="auto"/>
            <w:vAlign w:val="center"/>
          </w:tcPr>
          <w:p w14:paraId="2EB936BD">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63E9F699">
            <w:pPr>
              <w:jc w:val="center"/>
              <w:rPr>
                <w:rFonts w:hint="eastAsia" w:ascii="宋体" w:hAnsi="宋体" w:eastAsia="宋体" w:cs="宋体"/>
                <w:i w:val="0"/>
                <w:iCs w:val="0"/>
                <w:color w:val="auto"/>
                <w:sz w:val="18"/>
                <w:szCs w:val="18"/>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8F132">
            <w:pPr>
              <w:jc w:val="center"/>
              <w:rPr>
                <w:rFonts w:hint="eastAsia" w:ascii="宋体" w:hAnsi="宋体" w:eastAsia="宋体" w:cs="宋体"/>
                <w:b/>
                <w:bCs/>
                <w:i w:val="0"/>
                <w:iCs w:val="0"/>
                <w:color w:val="auto"/>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8811D">
            <w:pPr>
              <w:jc w:val="center"/>
              <w:rPr>
                <w:rFonts w:hint="eastAsia" w:ascii="宋体" w:hAnsi="宋体" w:eastAsia="宋体" w:cs="宋体"/>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6283D">
            <w:pPr>
              <w:jc w:val="center"/>
              <w:rPr>
                <w:rFonts w:hint="eastAsia" w:ascii="宋体" w:hAnsi="宋体" w:eastAsia="宋体" w:cs="宋体"/>
                <w:i w:val="0"/>
                <w:iCs w:val="0"/>
                <w:color w:val="auto"/>
                <w:sz w:val="18"/>
                <w:szCs w:val="18"/>
                <w:u w:val="none"/>
              </w:rPr>
            </w:pP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A2BC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⑥</w:t>
            </w:r>
            <w:r>
              <w:rPr>
                <w:rFonts w:hint="eastAsia" w:ascii="宋体" w:hAnsi="宋体" w:eastAsia="宋体" w:cs="宋体"/>
                <w:i w:val="0"/>
                <w:iCs w:val="0"/>
                <w:color w:val="auto"/>
                <w:kern w:val="0"/>
                <w:sz w:val="18"/>
                <w:szCs w:val="18"/>
                <w:u w:val="none"/>
                <w:lang w:val="en-US" w:eastAsia="zh-CN" w:bidi="ar"/>
              </w:rPr>
              <w:t>空调系统通风设施设备的运行管理应符合GB 50365的规定，滤网定期清洗、消毒，符合WS/T 396的规定</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81A7D">
            <w:pPr>
              <w:jc w:val="left"/>
              <w:rPr>
                <w:rFonts w:hint="eastAsia" w:ascii="宋体" w:hAnsi="宋体" w:eastAsia="宋体" w:cs="宋体"/>
                <w:i w:val="0"/>
                <w:iCs w:val="0"/>
                <w:color w:val="auto"/>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2DB9D">
            <w:pPr>
              <w:jc w:val="left"/>
              <w:rPr>
                <w:rFonts w:hint="eastAsia" w:ascii="宋体" w:hAnsi="宋体" w:eastAsia="宋体" w:cs="宋体"/>
                <w:i w:val="0"/>
                <w:iCs w:val="0"/>
                <w:color w:val="auto"/>
                <w:sz w:val="18"/>
                <w:szCs w:val="18"/>
                <w:u w:val="none"/>
              </w:rPr>
            </w:pPr>
          </w:p>
        </w:tc>
      </w:tr>
      <w:tr w14:paraId="36D49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972" w:type="dxa"/>
            <w:vMerge w:val="continue"/>
            <w:tcBorders>
              <w:left w:val="single" w:color="000000" w:sz="4" w:space="0"/>
              <w:right w:val="single" w:color="000000" w:sz="4" w:space="0"/>
            </w:tcBorders>
            <w:shd w:val="clear" w:color="auto" w:fill="auto"/>
            <w:vAlign w:val="center"/>
          </w:tcPr>
          <w:p w14:paraId="7BFD6EA2">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1A729A50">
            <w:pPr>
              <w:jc w:val="center"/>
              <w:rPr>
                <w:rFonts w:hint="eastAsia" w:ascii="宋体" w:hAnsi="宋体" w:eastAsia="宋体" w:cs="宋体"/>
                <w:i w:val="0"/>
                <w:iCs w:val="0"/>
                <w:color w:val="auto"/>
                <w:sz w:val="18"/>
                <w:szCs w:val="18"/>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D66E7">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C0A8B">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热源系统管理</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1FA5A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73CA">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①</w:t>
            </w:r>
            <w:r>
              <w:rPr>
                <w:rFonts w:hint="eastAsia" w:ascii="宋体" w:hAnsi="宋体" w:eastAsia="宋体" w:cs="宋体"/>
                <w:i w:val="0"/>
                <w:iCs w:val="0"/>
                <w:color w:val="auto"/>
                <w:kern w:val="0"/>
                <w:sz w:val="18"/>
                <w:szCs w:val="18"/>
                <w:u w:val="none"/>
                <w:lang w:val="en-US" w:eastAsia="zh-CN" w:bidi="ar"/>
              </w:rPr>
              <w:t>应建立热源系统管理标准，包括管理职责、运行值班、巡视巡查、维护保养、突发事件处理等的要求</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88292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查验资料，重点检查制度标准文件、运行记录内容是否完善适用，与服务约定、实际运行是否相符</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9D61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有相关文件的，依据符合的程度得0～10分，每发现一处不符合扣1分，扣完为止；无相关文件的，得0分；</w:t>
            </w:r>
          </w:p>
        </w:tc>
      </w:tr>
      <w:tr w14:paraId="19848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972" w:type="dxa"/>
            <w:vMerge w:val="continue"/>
            <w:tcBorders>
              <w:left w:val="single" w:color="000000" w:sz="4" w:space="0"/>
              <w:right w:val="single" w:color="000000" w:sz="4" w:space="0"/>
            </w:tcBorders>
            <w:shd w:val="clear" w:color="auto" w:fill="auto"/>
            <w:vAlign w:val="center"/>
          </w:tcPr>
          <w:p w14:paraId="31294209">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679F33AA">
            <w:pPr>
              <w:jc w:val="center"/>
              <w:rPr>
                <w:rFonts w:hint="eastAsia" w:ascii="宋体" w:hAnsi="宋体" w:eastAsia="宋体" w:cs="宋体"/>
                <w:i w:val="0"/>
                <w:iCs w:val="0"/>
                <w:color w:val="auto"/>
                <w:sz w:val="18"/>
                <w:szCs w:val="18"/>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8CF0D">
            <w:pPr>
              <w:jc w:val="center"/>
              <w:rPr>
                <w:rFonts w:hint="eastAsia" w:ascii="宋体" w:hAnsi="宋体" w:eastAsia="宋体" w:cs="宋体"/>
                <w:b/>
                <w:bCs/>
                <w:i w:val="0"/>
                <w:iCs w:val="0"/>
                <w:color w:val="auto"/>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F214">
            <w:pPr>
              <w:jc w:val="center"/>
              <w:rPr>
                <w:rFonts w:hint="eastAsia" w:ascii="宋体" w:hAnsi="宋体" w:eastAsia="宋体" w:cs="宋体"/>
                <w:b/>
                <w:bCs/>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14A05">
            <w:pPr>
              <w:jc w:val="center"/>
              <w:rPr>
                <w:rFonts w:hint="eastAsia" w:ascii="宋体" w:hAnsi="宋体" w:eastAsia="宋体" w:cs="宋体"/>
                <w:i w:val="0"/>
                <w:iCs w:val="0"/>
                <w:color w:val="auto"/>
                <w:sz w:val="18"/>
                <w:szCs w:val="18"/>
                <w:u w:val="none"/>
              </w:rPr>
            </w:pP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1FAA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②</w:t>
            </w:r>
            <w:r>
              <w:rPr>
                <w:rFonts w:hint="eastAsia" w:ascii="宋体" w:hAnsi="宋体" w:eastAsia="宋体" w:cs="宋体"/>
                <w:i w:val="0"/>
                <w:iCs w:val="0"/>
                <w:color w:val="auto"/>
                <w:kern w:val="0"/>
                <w:sz w:val="18"/>
                <w:szCs w:val="18"/>
                <w:u w:val="none"/>
                <w:lang w:val="en-US" w:eastAsia="zh-CN" w:bidi="ar"/>
              </w:rPr>
              <w:t>锅炉设备属于特种设备，应定期进行检验查阅锅炉定期检验报告是否在有效期且检验结论为“合格”或者“复检合格”</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97B1C">
            <w:pPr>
              <w:jc w:val="left"/>
              <w:rPr>
                <w:rFonts w:hint="eastAsia" w:ascii="宋体" w:hAnsi="宋体" w:eastAsia="宋体" w:cs="宋体"/>
                <w:i w:val="0"/>
                <w:iCs w:val="0"/>
                <w:color w:val="auto"/>
                <w:sz w:val="18"/>
                <w:szCs w:val="18"/>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9A75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锅炉检验报告不在有效期的，终止评价</w:t>
            </w:r>
          </w:p>
        </w:tc>
      </w:tr>
      <w:tr w14:paraId="59025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72" w:type="dxa"/>
            <w:vMerge w:val="continue"/>
            <w:tcBorders>
              <w:left w:val="single" w:color="000000" w:sz="4" w:space="0"/>
              <w:right w:val="single" w:color="000000" w:sz="4" w:space="0"/>
            </w:tcBorders>
            <w:shd w:val="clear" w:color="auto" w:fill="auto"/>
            <w:vAlign w:val="center"/>
          </w:tcPr>
          <w:p w14:paraId="370655CF">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0B67D2EE">
            <w:pPr>
              <w:jc w:val="center"/>
              <w:rPr>
                <w:rFonts w:hint="eastAsia" w:ascii="宋体" w:hAnsi="宋体" w:eastAsia="宋体" w:cs="宋体"/>
                <w:i w:val="0"/>
                <w:iCs w:val="0"/>
                <w:color w:val="auto"/>
                <w:sz w:val="18"/>
                <w:szCs w:val="18"/>
                <w:u w:val="none"/>
              </w:rPr>
            </w:pPr>
          </w:p>
        </w:tc>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48571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消防系统（20分）</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FF0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维保外包管理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64C9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B548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聘请具有资质的维保单位按合同约定的内容、技术标准、频次进行维护保养，消防系统的设施设备的检测、维保、巡查应按照GB 25201的规定执行</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B070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查阅消防设施维保合同，重点检查合同期限、维保单位资质等</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35C6">
            <w:pPr>
              <w:keepNext w:val="0"/>
              <w:keepLines w:val="0"/>
              <w:widowControl/>
              <w:suppressLineNumbers w:val="0"/>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资质不符或合同期限超期，终止评价</w:t>
            </w:r>
          </w:p>
        </w:tc>
      </w:tr>
      <w:tr w14:paraId="70F97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72" w:type="dxa"/>
            <w:vMerge w:val="continue"/>
            <w:tcBorders>
              <w:left w:val="single" w:color="000000" w:sz="4" w:space="0"/>
              <w:right w:val="single" w:color="000000" w:sz="4" w:space="0"/>
            </w:tcBorders>
            <w:shd w:val="clear" w:color="auto" w:fill="auto"/>
            <w:vAlign w:val="center"/>
          </w:tcPr>
          <w:p w14:paraId="56951C1C">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46D3E9B2">
            <w:pPr>
              <w:jc w:val="center"/>
              <w:rPr>
                <w:rFonts w:hint="eastAsia" w:ascii="宋体" w:hAnsi="宋体" w:eastAsia="宋体" w:cs="宋体"/>
                <w:i w:val="0"/>
                <w:iCs w:val="0"/>
                <w:color w:val="auto"/>
                <w:sz w:val="18"/>
                <w:szCs w:val="18"/>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5AD04">
            <w:pPr>
              <w:jc w:val="center"/>
              <w:rPr>
                <w:rFonts w:hint="eastAsia" w:ascii="宋体" w:hAnsi="宋体" w:eastAsia="宋体" w:cs="宋体"/>
                <w:i w:val="0"/>
                <w:iCs w:val="0"/>
                <w:color w:val="auto"/>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F35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维护保养管理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420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7E88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每月物业公司应收集 1 份盖章的维保记录，系统各前端报警设备每年检测覆盖 1 次</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1EF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查阅消防设施维保记录</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26AA0">
            <w:pPr>
              <w:keepNext w:val="0"/>
              <w:keepLines w:val="0"/>
              <w:widowControl/>
              <w:suppressLineNumbers w:val="0"/>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有相关记录，依据符合程度，满分5分，每发现一处不符合扣1分，扣完为止；无相关记录，得0分</w:t>
            </w:r>
          </w:p>
        </w:tc>
      </w:tr>
      <w:tr w14:paraId="09089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972" w:type="dxa"/>
            <w:vMerge w:val="continue"/>
            <w:tcBorders>
              <w:left w:val="single" w:color="000000" w:sz="4" w:space="0"/>
              <w:bottom w:val="single" w:color="000000" w:sz="4" w:space="0"/>
              <w:right w:val="single" w:color="000000" w:sz="4" w:space="0"/>
            </w:tcBorders>
            <w:shd w:val="clear" w:color="auto" w:fill="auto"/>
            <w:vAlign w:val="center"/>
          </w:tcPr>
          <w:p w14:paraId="002087F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bottom w:val="single" w:color="000000" w:sz="4" w:space="0"/>
              <w:right w:val="single" w:color="000000" w:sz="4" w:space="0"/>
            </w:tcBorders>
            <w:shd w:val="clear" w:color="auto" w:fill="auto"/>
            <w:vAlign w:val="center"/>
          </w:tcPr>
          <w:p w14:paraId="7C252EE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p>
        </w:tc>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C0B07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消防系统</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165C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巡检</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441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857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制定巡检计划并实施，确保消防系统运行正常：①消防设备完好，运行状态、压力、电源、指示灯、控制箱等正常 ②消火栓泵、稳压泵、喷淋泵管网水压正常③管道阀门无渗漏水 ④控制柜电压、指示灯正常   ⑤消防广播系统功能正常，对讲开关、电源电压、麦克风、扬声器及附属弱电线路等正常使用</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C0CF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现场检验设施设备运行状态，测试使用功能</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B3729">
            <w:pPr>
              <w:keepNext w:val="0"/>
              <w:keepLines w:val="0"/>
              <w:widowControl/>
              <w:suppressLineNumbers w:val="0"/>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依据现场符合程度打分，满分10分，每发现一处不符合扣2分，扣完为止</w:t>
            </w:r>
          </w:p>
        </w:tc>
      </w:tr>
      <w:tr w14:paraId="5DCB4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972" w:type="dxa"/>
            <w:vMerge w:val="restart"/>
            <w:tcBorders>
              <w:top w:val="single" w:color="000000" w:sz="4" w:space="0"/>
              <w:left w:val="single" w:color="000000" w:sz="4" w:space="0"/>
              <w:right w:val="single" w:color="000000" w:sz="4" w:space="0"/>
            </w:tcBorders>
            <w:shd w:val="clear" w:color="auto" w:fill="auto"/>
            <w:vAlign w:val="center"/>
          </w:tcPr>
          <w:p w14:paraId="260ED838">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服务过程（600分，不含延伸服务10分）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5EAC">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房屋及设施设备管理（186分）</w:t>
            </w: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E7111">
            <w:pPr>
              <w:jc w:val="center"/>
              <w:rPr>
                <w:rFonts w:hint="eastAsia" w:ascii="宋体" w:hAnsi="宋体" w:eastAsia="宋体" w:cs="宋体"/>
                <w:i w:val="0"/>
                <w:iCs w:val="0"/>
                <w:color w:val="auto"/>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675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消防泵房管理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345F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5D8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①消防泵房保持锁闭，钥匙专人管理  ②设置挡鼠板（高度≥50cm）及防鼠装置 ③通风口设防小动物网（网眼大小＜10mm）④配备消防器材，取用方便、摆放规范、标识清晰，定期巡检，配置温湿度计⑤严禁吸烟，严禁存放易燃易爆等危险物品</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D77A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查看现场消防泵房</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43AA2">
            <w:pPr>
              <w:keepNext w:val="0"/>
              <w:keepLines w:val="0"/>
              <w:widowControl/>
              <w:suppressLineNumbers w:val="0"/>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依据现场符合程度打分，满分10分，每发现一处不符合扣3分，扣完为止</w:t>
            </w:r>
          </w:p>
        </w:tc>
      </w:tr>
      <w:tr w14:paraId="660F3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72" w:type="dxa"/>
            <w:vMerge w:val="continue"/>
            <w:tcBorders>
              <w:left w:val="single" w:color="000000" w:sz="4" w:space="0"/>
              <w:right w:val="single" w:color="000000" w:sz="4" w:space="0"/>
            </w:tcBorders>
            <w:shd w:val="clear" w:color="auto" w:fill="auto"/>
            <w:vAlign w:val="center"/>
          </w:tcPr>
          <w:p w14:paraId="1A65C495">
            <w:pPr>
              <w:jc w:val="center"/>
              <w:rPr>
                <w:rFonts w:hint="eastAsia" w:ascii="宋体" w:hAnsi="宋体" w:eastAsia="宋体" w:cs="宋体"/>
                <w:i w:val="0"/>
                <w:iCs w:val="0"/>
                <w:color w:val="auto"/>
                <w:sz w:val="18"/>
                <w:szCs w:val="18"/>
                <w:u w:val="none"/>
              </w:rPr>
            </w:pPr>
          </w:p>
        </w:tc>
        <w:tc>
          <w:tcPr>
            <w:tcW w:w="975" w:type="dxa"/>
            <w:vMerge w:val="restart"/>
            <w:tcBorders>
              <w:top w:val="single" w:color="000000" w:sz="4" w:space="0"/>
              <w:left w:val="single" w:color="000000" w:sz="4" w:space="0"/>
              <w:right w:val="single" w:color="000000" w:sz="4" w:space="0"/>
            </w:tcBorders>
            <w:shd w:val="clear" w:color="auto" w:fill="auto"/>
            <w:vAlign w:val="center"/>
          </w:tcPr>
          <w:p w14:paraId="5B0D6F1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秩序维护与安全管理（75分）</w:t>
            </w:r>
          </w:p>
        </w:tc>
        <w:tc>
          <w:tcPr>
            <w:tcW w:w="15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89B3F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出入管理</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58AFC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F2E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①应根据产业园区实际情况、客户需求、管控目标的防控等级等因素，对产业园区主出入口或部分重点区域出入口实行固定值守岗管理服务</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17763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查验资料，重点检查制度标准文件内容是否完善适用，与服务约定、实际运行是否相符</w:t>
            </w:r>
          </w:p>
        </w:tc>
        <w:tc>
          <w:tcPr>
            <w:tcW w:w="33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869C8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有相关文件的，依据符合的程度得0～20分，每发现一处不符合扣2分，扣完为止；无相关文件的，得0分</w:t>
            </w:r>
          </w:p>
        </w:tc>
      </w:tr>
      <w:tr w14:paraId="21323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72" w:type="dxa"/>
            <w:vMerge w:val="continue"/>
            <w:tcBorders>
              <w:left w:val="single" w:color="000000" w:sz="4" w:space="0"/>
              <w:right w:val="single" w:color="000000" w:sz="4" w:space="0"/>
            </w:tcBorders>
            <w:shd w:val="clear" w:color="auto" w:fill="auto"/>
            <w:vAlign w:val="center"/>
          </w:tcPr>
          <w:p w14:paraId="6DEF7025">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5D8C1765">
            <w:pPr>
              <w:jc w:val="center"/>
              <w:rPr>
                <w:rFonts w:hint="eastAsia" w:ascii="宋体" w:hAnsi="宋体" w:eastAsia="宋体" w:cs="宋体"/>
                <w:i w:val="0"/>
                <w:iCs w:val="0"/>
                <w:color w:val="auto"/>
                <w:sz w:val="18"/>
                <w:szCs w:val="18"/>
                <w:u w:val="none"/>
              </w:rPr>
            </w:pPr>
          </w:p>
        </w:tc>
        <w:tc>
          <w:tcPr>
            <w:tcW w:w="15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899B7">
            <w:pPr>
              <w:jc w:val="center"/>
              <w:rPr>
                <w:rFonts w:hint="eastAsia" w:ascii="宋体" w:hAnsi="宋体" w:eastAsia="宋体" w:cs="宋体"/>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87426">
            <w:pPr>
              <w:jc w:val="center"/>
              <w:rPr>
                <w:rFonts w:hint="eastAsia" w:ascii="宋体" w:hAnsi="宋体" w:eastAsia="宋体" w:cs="宋体"/>
                <w:i w:val="0"/>
                <w:iCs w:val="0"/>
                <w:color w:val="auto"/>
                <w:sz w:val="18"/>
                <w:szCs w:val="18"/>
                <w:u w:val="none"/>
              </w:rPr>
            </w:pP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FCE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②按照管理要求，应控制管控区域人员、物品、车辆等的出入，引导车辆有序出入，规范停放</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33F40">
            <w:pPr>
              <w:jc w:val="left"/>
              <w:rPr>
                <w:rFonts w:hint="eastAsia" w:ascii="宋体" w:hAnsi="宋体" w:eastAsia="宋体" w:cs="宋体"/>
                <w:i w:val="0"/>
                <w:iCs w:val="0"/>
                <w:color w:val="auto"/>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3628C">
            <w:pPr>
              <w:jc w:val="left"/>
              <w:rPr>
                <w:rFonts w:hint="eastAsia" w:ascii="宋体" w:hAnsi="宋体" w:eastAsia="宋体" w:cs="宋体"/>
                <w:i w:val="0"/>
                <w:iCs w:val="0"/>
                <w:color w:val="auto"/>
                <w:sz w:val="18"/>
                <w:szCs w:val="18"/>
                <w:u w:val="none"/>
              </w:rPr>
            </w:pPr>
          </w:p>
        </w:tc>
      </w:tr>
      <w:tr w14:paraId="5C8D2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72" w:type="dxa"/>
            <w:vMerge w:val="continue"/>
            <w:tcBorders>
              <w:left w:val="single" w:color="000000" w:sz="4" w:space="0"/>
              <w:right w:val="single" w:color="000000" w:sz="4" w:space="0"/>
            </w:tcBorders>
            <w:shd w:val="clear" w:color="auto" w:fill="auto"/>
            <w:vAlign w:val="center"/>
          </w:tcPr>
          <w:p w14:paraId="4268CBFA">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2BFED6A5">
            <w:pPr>
              <w:jc w:val="center"/>
              <w:rPr>
                <w:rFonts w:hint="eastAsia" w:ascii="宋体" w:hAnsi="宋体" w:eastAsia="宋体" w:cs="宋体"/>
                <w:i w:val="0"/>
                <w:iCs w:val="0"/>
                <w:color w:val="auto"/>
                <w:sz w:val="18"/>
                <w:szCs w:val="18"/>
                <w:u w:val="none"/>
              </w:rPr>
            </w:pPr>
          </w:p>
        </w:tc>
        <w:tc>
          <w:tcPr>
            <w:tcW w:w="15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31674">
            <w:pPr>
              <w:jc w:val="center"/>
              <w:rPr>
                <w:rFonts w:hint="eastAsia" w:ascii="宋体" w:hAnsi="宋体" w:eastAsia="宋体" w:cs="宋体"/>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52F8C">
            <w:pPr>
              <w:jc w:val="center"/>
              <w:rPr>
                <w:rFonts w:hint="eastAsia" w:ascii="宋体" w:hAnsi="宋体" w:eastAsia="宋体" w:cs="宋体"/>
                <w:i w:val="0"/>
                <w:iCs w:val="0"/>
                <w:color w:val="auto"/>
                <w:sz w:val="18"/>
                <w:szCs w:val="18"/>
                <w:u w:val="none"/>
              </w:rPr>
            </w:pP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5897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③发现有危险化学品、危险废弃物出入时，应核查申报、审批资料后放行</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655E7">
            <w:pPr>
              <w:jc w:val="left"/>
              <w:rPr>
                <w:rFonts w:hint="eastAsia" w:ascii="宋体" w:hAnsi="宋体" w:eastAsia="宋体" w:cs="宋体"/>
                <w:i w:val="0"/>
                <w:iCs w:val="0"/>
                <w:color w:val="auto"/>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CD00E">
            <w:pPr>
              <w:jc w:val="left"/>
              <w:rPr>
                <w:rFonts w:hint="eastAsia" w:ascii="宋体" w:hAnsi="宋体" w:eastAsia="宋体" w:cs="宋体"/>
                <w:i w:val="0"/>
                <w:iCs w:val="0"/>
                <w:color w:val="auto"/>
                <w:sz w:val="18"/>
                <w:szCs w:val="18"/>
                <w:u w:val="none"/>
              </w:rPr>
            </w:pPr>
          </w:p>
        </w:tc>
      </w:tr>
      <w:tr w14:paraId="6B036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72" w:type="dxa"/>
            <w:vMerge w:val="continue"/>
            <w:tcBorders>
              <w:left w:val="single" w:color="000000" w:sz="4" w:space="0"/>
              <w:right w:val="single" w:color="000000" w:sz="4" w:space="0"/>
            </w:tcBorders>
            <w:shd w:val="clear" w:color="auto" w:fill="auto"/>
            <w:vAlign w:val="center"/>
          </w:tcPr>
          <w:p w14:paraId="345FF001">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4E9B2C92">
            <w:pPr>
              <w:jc w:val="center"/>
              <w:rPr>
                <w:rFonts w:hint="eastAsia" w:ascii="宋体" w:hAnsi="宋体" w:eastAsia="宋体" w:cs="宋体"/>
                <w:i w:val="0"/>
                <w:iCs w:val="0"/>
                <w:color w:val="auto"/>
                <w:sz w:val="18"/>
                <w:szCs w:val="18"/>
                <w:u w:val="none"/>
              </w:rPr>
            </w:pPr>
          </w:p>
        </w:tc>
        <w:tc>
          <w:tcPr>
            <w:tcW w:w="15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44EA6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巡查管理</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FFC04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4C3C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①根据产业园区实际情况、客户需求、管控目标的防控等级等因素，应设立安全巡逻岗，对产业园区实施安全巡查管理服务；</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D1AFC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查验资料，重点检查制度标准文件内容是否完善适用，与服务约定、实际运行是否相符</w:t>
            </w:r>
          </w:p>
        </w:tc>
        <w:tc>
          <w:tcPr>
            <w:tcW w:w="33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3D3F9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有相关文件的，依据符合的程度得0～10分，每发现一处不符合扣1分，扣完为止；无相关文件的，得0分</w:t>
            </w:r>
          </w:p>
        </w:tc>
      </w:tr>
      <w:tr w14:paraId="50A63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72" w:type="dxa"/>
            <w:vMerge w:val="continue"/>
            <w:tcBorders>
              <w:left w:val="single" w:color="000000" w:sz="4" w:space="0"/>
              <w:right w:val="single" w:color="000000" w:sz="4" w:space="0"/>
            </w:tcBorders>
            <w:shd w:val="clear" w:color="auto" w:fill="auto"/>
            <w:vAlign w:val="center"/>
          </w:tcPr>
          <w:p w14:paraId="64AA7159">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1EF935E3">
            <w:pPr>
              <w:jc w:val="center"/>
              <w:rPr>
                <w:rFonts w:hint="eastAsia" w:ascii="宋体" w:hAnsi="宋体" w:eastAsia="宋体" w:cs="宋体"/>
                <w:i w:val="0"/>
                <w:iCs w:val="0"/>
                <w:color w:val="auto"/>
                <w:sz w:val="18"/>
                <w:szCs w:val="18"/>
                <w:u w:val="none"/>
              </w:rPr>
            </w:pPr>
          </w:p>
        </w:tc>
        <w:tc>
          <w:tcPr>
            <w:tcW w:w="15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79A8B">
            <w:pPr>
              <w:jc w:val="center"/>
              <w:rPr>
                <w:rFonts w:hint="eastAsia" w:ascii="宋体" w:hAnsi="宋体" w:eastAsia="宋体" w:cs="宋体"/>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EC69A">
            <w:pPr>
              <w:jc w:val="center"/>
              <w:rPr>
                <w:rFonts w:hint="eastAsia" w:ascii="宋体" w:hAnsi="宋体" w:eastAsia="宋体" w:cs="宋体"/>
                <w:i w:val="0"/>
                <w:iCs w:val="0"/>
                <w:color w:val="auto"/>
                <w:sz w:val="18"/>
                <w:szCs w:val="18"/>
                <w:u w:val="none"/>
              </w:rPr>
            </w:pP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6410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②根据不同场地、部位安全巡查目标、防护等级要求，应制定巡查线路、巡查频次、巡查方式；</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24462">
            <w:pPr>
              <w:jc w:val="left"/>
              <w:rPr>
                <w:rFonts w:hint="eastAsia" w:ascii="宋体" w:hAnsi="宋体" w:eastAsia="宋体" w:cs="宋体"/>
                <w:i w:val="0"/>
                <w:iCs w:val="0"/>
                <w:color w:val="auto"/>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7F0FF">
            <w:pPr>
              <w:jc w:val="left"/>
              <w:rPr>
                <w:rFonts w:hint="eastAsia" w:ascii="宋体" w:hAnsi="宋体" w:eastAsia="宋体" w:cs="宋体"/>
                <w:i w:val="0"/>
                <w:iCs w:val="0"/>
                <w:color w:val="auto"/>
                <w:sz w:val="18"/>
                <w:szCs w:val="18"/>
                <w:u w:val="none"/>
              </w:rPr>
            </w:pPr>
          </w:p>
        </w:tc>
      </w:tr>
      <w:tr w14:paraId="288D9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72" w:type="dxa"/>
            <w:vMerge w:val="continue"/>
            <w:tcBorders>
              <w:left w:val="single" w:color="000000" w:sz="4" w:space="0"/>
              <w:right w:val="single" w:color="000000" w:sz="4" w:space="0"/>
            </w:tcBorders>
            <w:shd w:val="clear" w:color="auto" w:fill="auto"/>
            <w:vAlign w:val="center"/>
          </w:tcPr>
          <w:p w14:paraId="6958A004">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02C85104">
            <w:pPr>
              <w:jc w:val="center"/>
              <w:rPr>
                <w:rFonts w:hint="eastAsia" w:ascii="宋体" w:hAnsi="宋体" w:eastAsia="宋体" w:cs="宋体"/>
                <w:i w:val="0"/>
                <w:iCs w:val="0"/>
                <w:color w:val="auto"/>
                <w:sz w:val="18"/>
                <w:szCs w:val="18"/>
                <w:u w:val="none"/>
              </w:rPr>
            </w:pPr>
          </w:p>
        </w:tc>
        <w:tc>
          <w:tcPr>
            <w:tcW w:w="15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47374">
            <w:pPr>
              <w:jc w:val="center"/>
              <w:rPr>
                <w:rFonts w:hint="eastAsia" w:ascii="宋体" w:hAnsi="宋体" w:eastAsia="宋体" w:cs="宋体"/>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CEEF5">
            <w:pPr>
              <w:jc w:val="center"/>
              <w:rPr>
                <w:rFonts w:hint="eastAsia" w:ascii="宋体" w:hAnsi="宋体" w:eastAsia="宋体" w:cs="宋体"/>
                <w:i w:val="0"/>
                <w:iCs w:val="0"/>
                <w:color w:val="auto"/>
                <w:sz w:val="18"/>
                <w:szCs w:val="18"/>
                <w:u w:val="none"/>
              </w:rPr>
            </w:pP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360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③巡查过程中发现异常声响、气味等安全隐患，应采取有效措施进行劝导、制止、整改，并将相关情况及时上报</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910DB">
            <w:pPr>
              <w:jc w:val="left"/>
              <w:rPr>
                <w:rFonts w:hint="eastAsia" w:ascii="宋体" w:hAnsi="宋体" w:eastAsia="宋体" w:cs="宋体"/>
                <w:i w:val="0"/>
                <w:iCs w:val="0"/>
                <w:color w:val="auto"/>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6D904">
            <w:pPr>
              <w:jc w:val="left"/>
              <w:rPr>
                <w:rFonts w:hint="eastAsia" w:ascii="宋体" w:hAnsi="宋体" w:eastAsia="宋体" w:cs="宋体"/>
                <w:i w:val="0"/>
                <w:iCs w:val="0"/>
                <w:color w:val="auto"/>
                <w:sz w:val="18"/>
                <w:szCs w:val="18"/>
                <w:u w:val="none"/>
              </w:rPr>
            </w:pPr>
          </w:p>
        </w:tc>
      </w:tr>
      <w:tr w14:paraId="50954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972" w:type="dxa"/>
            <w:vMerge w:val="continue"/>
            <w:tcBorders>
              <w:left w:val="single" w:color="000000" w:sz="4" w:space="0"/>
              <w:right w:val="single" w:color="000000" w:sz="4" w:space="0"/>
            </w:tcBorders>
            <w:shd w:val="clear" w:color="auto" w:fill="auto"/>
            <w:vAlign w:val="center"/>
          </w:tcPr>
          <w:p w14:paraId="1C9E822C">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25798FC6">
            <w:pPr>
              <w:jc w:val="center"/>
              <w:rPr>
                <w:rFonts w:hint="eastAsia" w:ascii="宋体" w:hAnsi="宋体" w:eastAsia="宋体" w:cs="宋体"/>
                <w:i w:val="0"/>
                <w:iCs w:val="0"/>
                <w:color w:val="auto"/>
                <w:sz w:val="18"/>
                <w:szCs w:val="18"/>
                <w:u w:val="none"/>
              </w:rPr>
            </w:pPr>
          </w:p>
        </w:tc>
        <w:tc>
          <w:tcPr>
            <w:tcW w:w="15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28FA6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监控管理</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0293F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CED3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①监控室实行24小时值班，禁止无关人员进入，特殊情况进入或查询，应获得批准并严格登记应持有与业主相关政府部门、重要单位的详细地址、联系电话；</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F53DF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现场查证+查验资料，重点检查记录是否完整，与服务约定、实际运行是否相符</w:t>
            </w:r>
          </w:p>
        </w:tc>
        <w:tc>
          <w:tcPr>
            <w:tcW w:w="33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3DE53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有相关文件的，依据符合的程度得0～20分，每发现一处不符合扣2分，扣完为止；无相关文件的，得0分</w:t>
            </w:r>
          </w:p>
        </w:tc>
      </w:tr>
      <w:tr w14:paraId="3CF8C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72" w:type="dxa"/>
            <w:vMerge w:val="continue"/>
            <w:tcBorders>
              <w:left w:val="single" w:color="000000" w:sz="4" w:space="0"/>
              <w:right w:val="single" w:color="000000" w:sz="4" w:space="0"/>
            </w:tcBorders>
            <w:shd w:val="clear" w:color="auto" w:fill="auto"/>
            <w:vAlign w:val="center"/>
          </w:tcPr>
          <w:p w14:paraId="3DD4B30B">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09E2A1E2">
            <w:pPr>
              <w:jc w:val="center"/>
              <w:rPr>
                <w:rFonts w:hint="eastAsia" w:ascii="宋体" w:hAnsi="宋体" w:eastAsia="宋体" w:cs="宋体"/>
                <w:i w:val="0"/>
                <w:iCs w:val="0"/>
                <w:color w:val="auto"/>
                <w:sz w:val="18"/>
                <w:szCs w:val="18"/>
                <w:u w:val="none"/>
              </w:rPr>
            </w:pPr>
          </w:p>
        </w:tc>
        <w:tc>
          <w:tcPr>
            <w:tcW w:w="15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3CF9F">
            <w:pPr>
              <w:jc w:val="center"/>
              <w:rPr>
                <w:rFonts w:hint="eastAsia" w:ascii="宋体" w:hAnsi="宋体" w:eastAsia="宋体" w:cs="宋体"/>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70950">
            <w:pPr>
              <w:jc w:val="center"/>
              <w:rPr>
                <w:rFonts w:hint="eastAsia" w:ascii="宋体" w:hAnsi="宋体" w:eastAsia="宋体" w:cs="宋体"/>
                <w:i w:val="0"/>
                <w:iCs w:val="0"/>
                <w:color w:val="auto"/>
                <w:sz w:val="18"/>
                <w:szCs w:val="18"/>
                <w:u w:val="none"/>
              </w:rPr>
            </w:pP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EA73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②值班人员按要求进行值班巡查，发现异常及时报警联系现场处理，遇突发事件及时应急处置；</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19342">
            <w:pPr>
              <w:jc w:val="left"/>
              <w:rPr>
                <w:rFonts w:hint="eastAsia" w:ascii="宋体" w:hAnsi="宋体" w:eastAsia="宋体" w:cs="宋体"/>
                <w:i w:val="0"/>
                <w:iCs w:val="0"/>
                <w:color w:val="auto"/>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4E14B">
            <w:pPr>
              <w:jc w:val="left"/>
              <w:rPr>
                <w:rFonts w:hint="eastAsia" w:ascii="宋体" w:hAnsi="宋体" w:eastAsia="宋体" w:cs="宋体"/>
                <w:i w:val="0"/>
                <w:iCs w:val="0"/>
                <w:color w:val="auto"/>
                <w:sz w:val="18"/>
                <w:szCs w:val="18"/>
                <w:u w:val="none"/>
              </w:rPr>
            </w:pPr>
          </w:p>
        </w:tc>
      </w:tr>
      <w:tr w14:paraId="1EB19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72" w:type="dxa"/>
            <w:vMerge w:val="continue"/>
            <w:tcBorders>
              <w:left w:val="single" w:color="000000" w:sz="4" w:space="0"/>
              <w:bottom w:val="single" w:color="000000" w:sz="4" w:space="0"/>
              <w:right w:val="single" w:color="000000" w:sz="4" w:space="0"/>
            </w:tcBorders>
            <w:shd w:val="clear" w:color="auto" w:fill="auto"/>
            <w:vAlign w:val="center"/>
          </w:tcPr>
          <w:p w14:paraId="1193F316">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bottom w:val="single" w:color="000000" w:sz="4" w:space="0"/>
              <w:right w:val="single" w:color="000000" w:sz="4" w:space="0"/>
            </w:tcBorders>
            <w:shd w:val="clear" w:color="auto" w:fill="auto"/>
            <w:vAlign w:val="center"/>
          </w:tcPr>
          <w:p w14:paraId="2393DC6C">
            <w:pPr>
              <w:jc w:val="center"/>
              <w:rPr>
                <w:rFonts w:hint="eastAsia" w:ascii="宋体" w:hAnsi="宋体" w:eastAsia="宋体" w:cs="宋体"/>
                <w:i w:val="0"/>
                <w:iCs w:val="0"/>
                <w:color w:val="auto"/>
                <w:sz w:val="18"/>
                <w:szCs w:val="18"/>
                <w:u w:val="none"/>
              </w:rPr>
            </w:pPr>
          </w:p>
        </w:tc>
        <w:tc>
          <w:tcPr>
            <w:tcW w:w="15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B75F3">
            <w:pPr>
              <w:jc w:val="center"/>
              <w:rPr>
                <w:rFonts w:hint="eastAsia" w:ascii="宋体" w:hAnsi="宋体" w:eastAsia="宋体" w:cs="宋体"/>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29975">
            <w:pPr>
              <w:jc w:val="center"/>
              <w:rPr>
                <w:rFonts w:hint="eastAsia" w:ascii="宋体" w:hAnsi="宋体" w:eastAsia="宋体" w:cs="宋体"/>
                <w:i w:val="0"/>
                <w:iCs w:val="0"/>
                <w:color w:val="auto"/>
                <w:sz w:val="18"/>
                <w:szCs w:val="18"/>
                <w:u w:val="none"/>
              </w:rPr>
            </w:pP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EC9D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③监控设备设施运行正常，按要求定期进行维保监控影像资料、报警记录等至少留存30日备查</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C4712">
            <w:pPr>
              <w:jc w:val="left"/>
              <w:rPr>
                <w:rFonts w:hint="eastAsia" w:ascii="宋体" w:hAnsi="宋体" w:eastAsia="宋体" w:cs="宋体"/>
                <w:i w:val="0"/>
                <w:iCs w:val="0"/>
                <w:color w:val="auto"/>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48EF6">
            <w:pPr>
              <w:jc w:val="left"/>
              <w:rPr>
                <w:rFonts w:hint="eastAsia" w:ascii="宋体" w:hAnsi="宋体" w:eastAsia="宋体" w:cs="宋体"/>
                <w:i w:val="0"/>
                <w:iCs w:val="0"/>
                <w:color w:val="auto"/>
                <w:sz w:val="18"/>
                <w:szCs w:val="18"/>
                <w:u w:val="none"/>
              </w:rPr>
            </w:pPr>
          </w:p>
        </w:tc>
      </w:tr>
      <w:tr w14:paraId="3C0A3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972" w:type="dxa"/>
            <w:vMerge w:val="restart"/>
            <w:tcBorders>
              <w:top w:val="single" w:color="000000" w:sz="4" w:space="0"/>
              <w:left w:val="single" w:color="000000" w:sz="4" w:space="0"/>
              <w:right w:val="single" w:color="000000" w:sz="4" w:space="0"/>
            </w:tcBorders>
            <w:shd w:val="clear" w:color="auto" w:fill="auto"/>
            <w:vAlign w:val="center"/>
          </w:tcPr>
          <w:p w14:paraId="0DC0001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服务过程（600分，不含延伸服务10分）</w:t>
            </w:r>
          </w:p>
        </w:tc>
        <w:tc>
          <w:tcPr>
            <w:tcW w:w="975" w:type="dxa"/>
            <w:vMerge w:val="restart"/>
            <w:tcBorders>
              <w:top w:val="single" w:color="000000" w:sz="4" w:space="0"/>
              <w:left w:val="single" w:color="000000" w:sz="4" w:space="0"/>
              <w:right w:val="single" w:color="000000" w:sz="4" w:space="0"/>
            </w:tcBorders>
            <w:shd w:val="clear" w:color="auto" w:fill="auto"/>
            <w:vAlign w:val="center"/>
          </w:tcPr>
          <w:p w14:paraId="4A8A954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秩序维护与安全管理（75分）</w:t>
            </w:r>
          </w:p>
        </w:tc>
        <w:tc>
          <w:tcPr>
            <w:tcW w:w="15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6B110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交通管理</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6D13F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7FA9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①应合理规划园区人流、车流路线，做好相关提示、标识、引导，根据车流量情况，适当调配人员或增设导向牌、路障等设施，引导车辆到划定区域有序停放；</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8F69B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现场查证+资料查验</w:t>
            </w:r>
          </w:p>
        </w:tc>
        <w:tc>
          <w:tcPr>
            <w:tcW w:w="33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7352C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有相关记录文件的，依据符合的程度得0～10分，每发现一处不符合扣1分，扣完为止；无相关文件的，得0分</w:t>
            </w:r>
          </w:p>
        </w:tc>
      </w:tr>
      <w:tr w14:paraId="5F186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72" w:type="dxa"/>
            <w:vMerge w:val="continue"/>
            <w:tcBorders>
              <w:left w:val="single" w:color="000000" w:sz="4" w:space="0"/>
              <w:right w:val="single" w:color="000000" w:sz="4" w:space="0"/>
            </w:tcBorders>
            <w:shd w:val="clear" w:color="auto" w:fill="auto"/>
            <w:vAlign w:val="center"/>
          </w:tcPr>
          <w:p w14:paraId="45FE0976">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1C0066E0">
            <w:pPr>
              <w:jc w:val="center"/>
              <w:rPr>
                <w:rFonts w:hint="eastAsia" w:ascii="宋体" w:hAnsi="宋体" w:eastAsia="宋体" w:cs="宋体"/>
                <w:i w:val="0"/>
                <w:iCs w:val="0"/>
                <w:color w:val="auto"/>
                <w:sz w:val="18"/>
                <w:szCs w:val="18"/>
                <w:u w:val="none"/>
              </w:rPr>
            </w:pPr>
          </w:p>
        </w:tc>
        <w:tc>
          <w:tcPr>
            <w:tcW w:w="15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48AE9">
            <w:pPr>
              <w:jc w:val="center"/>
              <w:rPr>
                <w:rFonts w:hint="eastAsia" w:ascii="宋体" w:hAnsi="宋体" w:eastAsia="宋体" w:cs="宋体"/>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ADA9D">
            <w:pPr>
              <w:jc w:val="center"/>
              <w:rPr>
                <w:rFonts w:hint="eastAsia" w:ascii="宋体" w:hAnsi="宋体" w:eastAsia="宋体" w:cs="宋体"/>
                <w:i w:val="0"/>
                <w:iCs w:val="0"/>
                <w:color w:val="auto"/>
                <w:sz w:val="18"/>
                <w:szCs w:val="18"/>
                <w:u w:val="none"/>
              </w:rPr>
            </w:pP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15AB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②应合理规划超高、超重、超宽、超长车辆进入园区的路线和停放点，并在园区主要出入口及路段设立导向标识；</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FDDE6">
            <w:pPr>
              <w:jc w:val="left"/>
              <w:rPr>
                <w:rFonts w:hint="eastAsia" w:ascii="宋体" w:hAnsi="宋体" w:eastAsia="宋体" w:cs="宋体"/>
                <w:i w:val="0"/>
                <w:iCs w:val="0"/>
                <w:color w:val="auto"/>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3DE27">
            <w:pPr>
              <w:jc w:val="left"/>
              <w:rPr>
                <w:rFonts w:hint="eastAsia" w:ascii="宋体" w:hAnsi="宋体" w:eastAsia="宋体" w:cs="宋体"/>
                <w:i w:val="0"/>
                <w:iCs w:val="0"/>
                <w:color w:val="auto"/>
                <w:sz w:val="18"/>
                <w:szCs w:val="18"/>
                <w:u w:val="none"/>
              </w:rPr>
            </w:pPr>
          </w:p>
        </w:tc>
      </w:tr>
      <w:tr w14:paraId="6C7F8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72" w:type="dxa"/>
            <w:vMerge w:val="continue"/>
            <w:tcBorders>
              <w:left w:val="single" w:color="000000" w:sz="4" w:space="0"/>
              <w:right w:val="single" w:color="000000" w:sz="4" w:space="0"/>
            </w:tcBorders>
            <w:shd w:val="clear" w:color="auto" w:fill="auto"/>
            <w:vAlign w:val="center"/>
          </w:tcPr>
          <w:p w14:paraId="01AD52F4">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1ADE512E">
            <w:pPr>
              <w:jc w:val="center"/>
              <w:rPr>
                <w:rFonts w:hint="eastAsia" w:ascii="宋体" w:hAnsi="宋体" w:eastAsia="宋体" w:cs="宋体"/>
                <w:i w:val="0"/>
                <w:iCs w:val="0"/>
                <w:color w:val="auto"/>
                <w:sz w:val="18"/>
                <w:szCs w:val="18"/>
                <w:u w:val="none"/>
              </w:rPr>
            </w:pPr>
          </w:p>
        </w:tc>
        <w:tc>
          <w:tcPr>
            <w:tcW w:w="15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1FA72">
            <w:pPr>
              <w:jc w:val="center"/>
              <w:rPr>
                <w:rFonts w:hint="eastAsia" w:ascii="宋体" w:hAnsi="宋体" w:eastAsia="宋体" w:cs="宋体"/>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4F9BC">
            <w:pPr>
              <w:jc w:val="center"/>
              <w:rPr>
                <w:rFonts w:hint="eastAsia" w:ascii="宋体" w:hAnsi="宋体" w:eastAsia="宋体" w:cs="宋体"/>
                <w:i w:val="0"/>
                <w:iCs w:val="0"/>
                <w:color w:val="auto"/>
                <w:sz w:val="18"/>
                <w:szCs w:val="18"/>
                <w:u w:val="none"/>
              </w:rPr>
            </w:pP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6F1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③应定期进行停车场巡查，重点巡查停车场设施设备安全、通道通行安全、人员、物品安全等；</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0A314">
            <w:pPr>
              <w:jc w:val="left"/>
              <w:rPr>
                <w:rFonts w:hint="eastAsia" w:ascii="宋体" w:hAnsi="宋体" w:eastAsia="宋体" w:cs="宋体"/>
                <w:i w:val="0"/>
                <w:iCs w:val="0"/>
                <w:color w:val="auto"/>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520CC">
            <w:pPr>
              <w:jc w:val="left"/>
              <w:rPr>
                <w:rFonts w:hint="eastAsia" w:ascii="宋体" w:hAnsi="宋体" w:eastAsia="宋体" w:cs="宋体"/>
                <w:i w:val="0"/>
                <w:iCs w:val="0"/>
                <w:color w:val="auto"/>
                <w:sz w:val="18"/>
                <w:szCs w:val="18"/>
                <w:u w:val="none"/>
              </w:rPr>
            </w:pPr>
          </w:p>
        </w:tc>
      </w:tr>
      <w:tr w14:paraId="54E88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72" w:type="dxa"/>
            <w:vMerge w:val="continue"/>
            <w:tcBorders>
              <w:left w:val="single" w:color="000000" w:sz="4" w:space="0"/>
              <w:right w:val="single" w:color="000000" w:sz="4" w:space="0"/>
            </w:tcBorders>
            <w:shd w:val="clear" w:color="auto" w:fill="auto"/>
            <w:vAlign w:val="center"/>
          </w:tcPr>
          <w:p w14:paraId="47AA8BAF">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2D0E15E1">
            <w:pPr>
              <w:jc w:val="center"/>
              <w:rPr>
                <w:rFonts w:hint="eastAsia" w:ascii="宋体" w:hAnsi="宋体" w:eastAsia="宋体" w:cs="宋体"/>
                <w:i w:val="0"/>
                <w:iCs w:val="0"/>
                <w:color w:val="auto"/>
                <w:sz w:val="18"/>
                <w:szCs w:val="18"/>
                <w:u w:val="none"/>
              </w:rPr>
            </w:pPr>
          </w:p>
        </w:tc>
        <w:tc>
          <w:tcPr>
            <w:tcW w:w="15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58D25">
            <w:pPr>
              <w:jc w:val="center"/>
              <w:rPr>
                <w:rFonts w:hint="eastAsia" w:ascii="宋体" w:hAnsi="宋体" w:eastAsia="宋体" w:cs="宋体"/>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8CB8F">
            <w:pPr>
              <w:jc w:val="center"/>
              <w:rPr>
                <w:rFonts w:hint="eastAsia" w:ascii="宋体" w:hAnsi="宋体" w:eastAsia="宋体" w:cs="宋体"/>
                <w:i w:val="0"/>
                <w:iCs w:val="0"/>
                <w:color w:val="auto"/>
                <w:sz w:val="18"/>
                <w:szCs w:val="18"/>
                <w:u w:val="none"/>
              </w:rPr>
            </w:pP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084C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④应定期巡查机动车、电动自行车停放场所充电设施、消防设施巡查电动自行车宜分组停放，并保持安全距离；</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FF215">
            <w:pPr>
              <w:jc w:val="left"/>
              <w:rPr>
                <w:rFonts w:hint="eastAsia" w:ascii="宋体" w:hAnsi="宋体" w:eastAsia="宋体" w:cs="宋体"/>
                <w:i w:val="0"/>
                <w:iCs w:val="0"/>
                <w:color w:val="auto"/>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0C9DE">
            <w:pPr>
              <w:jc w:val="left"/>
              <w:rPr>
                <w:rFonts w:hint="eastAsia" w:ascii="宋体" w:hAnsi="宋体" w:eastAsia="宋体" w:cs="宋体"/>
                <w:i w:val="0"/>
                <w:iCs w:val="0"/>
                <w:color w:val="auto"/>
                <w:sz w:val="18"/>
                <w:szCs w:val="18"/>
                <w:u w:val="none"/>
              </w:rPr>
            </w:pPr>
          </w:p>
        </w:tc>
      </w:tr>
      <w:tr w14:paraId="46FD9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72" w:type="dxa"/>
            <w:vMerge w:val="continue"/>
            <w:tcBorders>
              <w:left w:val="single" w:color="000000" w:sz="4" w:space="0"/>
              <w:right w:val="single" w:color="000000" w:sz="4" w:space="0"/>
            </w:tcBorders>
            <w:shd w:val="clear" w:color="auto" w:fill="auto"/>
            <w:vAlign w:val="center"/>
          </w:tcPr>
          <w:p w14:paraId="1DB46898">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18BAD09A">
            <w:pPr>
              <w:jc w:val="center"/>
              <w:rPr>
                <w:rFonts w:hint="eastAsia" w:ascii="宋体" w:hAnsi="宋体" w:eastAsia="宋体" w:cs="宋体"/>
                <w:i w:val="0"/>
                <w:iCs w:val="0"/>
                <w:color w:val="auto"/>
                <w:sz w:val="18"/>
                <w:szCs w:val="18"/>
                <w:u w:val="none"/>
              </w:rPr>
            </w:pPr>
          </w:p>
        </w:tc>
        <w:tc>
          <w:tcPr>
            <w:tcW w:w="15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161DB">
            <w:pPr>
              <w:jc w:val="center"/>
              <w:rPr>
                <w:rFonts w:hint="eastAsia" w:ascii="宋体" w:hAnsi="宋体" w:eastAsia="宋体" w:cs="宋体"/>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DF591">
            <w:pPr>
              <w:jc w:val="center"/>
              <w:rPr>
                <w:rFonts w:hint="eastAsia" w:ascii="宋体" w:hAnsi="宋体" w:eastAsia="宋体" w:cs="宋体"/>
                <w:i w:val="0"/>
                <w:iCs w:val="0"/>
                <w:color w:val="auto"/>
                <w:sz w:val="18"/>
                <w:szCs w:val="18"/>
                <w:u w:val="none"/>
              </w:rPr>
            </w:pP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90EE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⑤结合园区需求，宜引入接驳车、内部交通巴士等方式提供公共交通服务</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4AE10">
            <w:pPr>
              <w:jc w:val="left"/>
              <w:rPr>
                <w:rFonts w:hint="eastAsia" w:ascii="宋体" w:hAnsi="宋体" w:eastAsia="宋体" w:cs="宋体"/>
                <w:i w:val="0"/>
                <w:iCs w:val="0"/>
                <w:color w:val="auto"/>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5118B">
            <w:pPr>
              <w:jc w:val="left"/>
              <w:rPr>
                <w:rFonts w:hint="eastAsia" w:ascii="宋体" w:hAnsi="宋体" w:eastAsia="宋体" w:cs="宋体"/>
                <w:i w:val="0"/>
                <w:iCs w:val="0"/>
                <w:color w:val="auto"/>
                <w:sz w:val="18"/>
                <w:szCs w:val="18"/>
                <w:u w:val="none"/>
              </w:rPr>
            </w:pPr>
          </w:p>
        </w:tc>
      </w:tr>
      <w:tr w14:paraId="53533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72" w:type="dxa"/>
            <w:vMerge w:val="continue"/>
            <w:tcBorders>
              <w:left w:val="single" w:color="000000" w:sz="4" w:space="0"/>
              <w:right w:val="single" w:color="000000" w:sz="4" w:space="0"/>
            </w:tcBorders>
            <w:shd w:val="clear" w:color="auto" w:fill="auto"/>
            <w:vAlign w:val="center"/>
          </w:tcPr>
          <w:p w14:paraId="1060F6A0">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388D8EF8">
            <w:pPr>
              <w:jc w:val="center"/>
              <w:rPr>
                <w:rFonts w:hint="eastAsia" w:ascii="宋体" w:hAnsi="宋体" w:eastAsia="宋体" w:cs="宋体"/>
                <w:i w:val="0"/>
                <w:iCs w:val="0"/>
                <w:color w:val="auto"/>
                <w:sz w:val="18"/>
                <w:szCs w:val="18"/>
                <w:u w:val="none"/>
              </w:rPr>
            </w:pPr>
          </w:p>
        </w:tc>
        <w:tc>
          <w:tcPr>
            <w:tcW w:w="15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461E9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消防安全管理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714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FCF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定期开展消防宣传活动和消防培训</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3904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查阅员工消防培训相关记录和对业主及物业使用人的消防宣传记录，符合相关规定并真实、规范</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BA2E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有相关记录文件的，依据符合的程度得0～5分，每发现一处不符合扣1分，扣完为止；无相关文件的，得0分</w:t>
            </w:r>
          </w:p>
        </w:tc>
      </w:tr>
      <w:tr w14:paraId="232A2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72" w:type="dxa"/>
            <w:vMerge w:val="continue"/>
            <w:tcBorders>
              <w:left w:val="single" w:color="000000" w:sz="4" w:space="0"/>
              <w:right w:val="single" w:color="000000" w:sz="4" w:space="0"/>
            </w:tcBorders>
            <w:shd w:val="clear" w:color="auto" w:fill="auto"/>
            <w:vAlign w:val="center"/>
          </w:tcPr>
          <w:p w14:paraId="245C57CD">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036DB0D9">
            <w:pPr>
              <w:jc w:val="center"/>
              <w:rPr>
                <w:rFonts w:hint="eastAsia" w:ascii="宋体" w:hAnsi="宋体" w:eastAsia="宋体" w:cs="宋体"/>
                <w:i w:val="0"/>
                <w:iCs w:val="0"/>
                <w:color w:val="auto"/>
                <w:sz w:val="18"/>
                <w:szCs w:val="18"/>
                <w:u w:val="none"/>
              </w:rPr>
            </w:pPr>
          </w:p>
        </w:tc>
        <w:tc>
          <w:tcPr>
            <w:tcW w:w="15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24F24">
            <w:pPr>
              <w:jc w:val="center"/>
              <w:rPr>
                <w:rFonts w:hint="eastAsia" w:ascii="宋体" w:hAnsi="宋体" w:eastAsia="宋体" w:cs="宋体"/>
                <w:i w:val="0"/>
                <w:iCs w:val="0"/>
                <w:color w:val="auto"/>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4F0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959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按要求进行防火巡查、防火检查，及时排查火灾隐患并记录</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E52A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查阅防火巡查、防火检查记录</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AAB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有相关记录文件的，依据符合的程度得0～5分，每发现一处不符合扣1分，扣完为止；无相关文件的，终止评价</w:t>
            </w:r>
          </w:p>
        </w:tc>
      </w:tr>
      <w:tr w14:paraId="6B189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72" w:type="dxa"/>
            <w:vMerge w:val="continue"/>
            <w:tcBorders>
              <w:left w:val="single" w:color="000000" w:sz="4" w:space="0"/>
              <w:right w:val="single" w:color="000000" w:sz="4" w:space="0"/>
            </w:tcBorders>
            <w:shd w:val="clear" w:color="auto" w:fill="auto"/>
            <w:vAlign w:val="center"/>
          </w:tcPr>
          <w:p w14:paraId="2F1841E4">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bottom w:val="single" w:color="000000" w:sz="4" w:space="0"/>
              <w:right w:val="single" w:color="000000" w:sz="4" w:space="0"/>
            </w:tcBorders>
            <w:shd w:val="clear" w:color="auto" w:fill="auto"/>
            <w:vAlign w:val="center"/>
          </w:tcPr>
          <w:p w14:paraId="280E7D91">
            <w:pPr>
              <w:jc w:val="center"/>
              <w:rPr>
                <w:rFonts w:hint="eastAsia" w:ascii="宋体" w:hAnsi="宋体" w:eastAsia="宋体" w:cs="宋体"/>
                <w:i w:val="0"/>
                <w:iCs w:val="0"/>
                <w:color w:val="auto"/>
                <w:sz w:val="18"/>
                <w:szCs w:val="18"/>
                <w:u w:val="none"/>
              </w:rPr>
            </w:pPr>
          </w:p>
        </w:tc>
        <w:tc>
          <w:tcPr>
            <w:tcW w:w="15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535C2">
            <w:pPr>
              <w:jc w:val="center"/>
              <w:rPr>
                <w:rFonts w:hint="eastAsia" w:ascii="宋体" w:hAnsi="宋体" w:eastAsia="宋体" w:cs="宋体"/>
                <w:i w:val="0"/>
                <w:iCs w:val="0"/>
                <w:color w:val="auto"/>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ED7E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961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火警疏散示意图按幢设置在楼层明显位置</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9236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查看现场至少2处设置情况</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0281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每发现一处不符合扣1分，扣完为止</w:t>
            </w:r>
          </w:p>
        </w:tc>
      </w:tr>
      <w:tr w14:paraId="34827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72" w:type="dxa"/>
            <w:vMerge w:val="continue"/>
            <w:tcBorders>
              <w:left w:val="single" w:color="000000" w:sz="4" w:space="0"/>
              <w:right w:val="single" w:color="000000" w:sz="4" w:space="0"/>
            </w:tcBorders>
            <w:shd w:val="clear" w:color="auto" w:fill="auto"/>
            <w:vAlign w:val="center"/>
          </w:tcPr>
          <w:p w14:paraId="157C5AE9">
            <w:pPr>
              <w:jc w:val="center"/>
              <w:rPr>
                <w:rFonts w:hint="eastAsia" w:ascii="宋体" w:hAnsi="宋体" w:eastAsia="宋体" w:cs="宋体"/>
                <w:i w:val="0"/>
                <w:iCs w:val="0"/>
                <w:color w:val="auto"/>
                <w:sz w:val="18"/>
                <w:szCs w:val="18"/>
                <w:u w:val="none"/>
              </w:rPr>
            </w:pPr>
          </w:p>
        </w:tc>
        <w:tc>
          <w:tcPr>
            <w:tcW w:w="975" w:type="dxa"/>
            <w:vMerge w:val="restart"/>
            <w:tcBorders>
              <w:top w:val="single" w:color="000000" w:sz="4" w:space="0"/>
              <w:left w:val="single" w:color="000000" w:sz="4" w:space="0"/>
              <w:right w:val="single" w:color="000000" w:sz="4" w:space="0"/>
            </w:tcBorders>
            <w:shd w:val="clear" w:color="auto" w:fill="auto"/>
            <w:vAlign w:val="center"/>
          </w:tcPr>
          <w:p w14:paraId="148FB9D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风险与应急管理（35分）</w:t>
            </w: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5C66F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风险识别</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87B4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A088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定期开展危险源辨识与风险评估、应急资源调查</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568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查验危险源辨识表，重大/重要风险评估表，资源调查结果等资料</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E49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有相关记录文件的，依据符合的程度得0～5分，每发现一处不符合扣1分，扣完为止；无相关文件的，得0分</w:t>
            </w:r>
          </w:p>
        </w:tc>
      </w:tr>
      <w:tr w14:paraId="3EFD7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72" w:type="dxa"/>
            <w:vMerge w:val="continue"/>
            <w:tcBorders>
              <w:left w:val="single" w:color="000000" w:sz="4" w:space="0"/>
              <w:bottom w:val="single" w:color="000000" w:sz="4" w:space="0"/>
              <w:right w:val="single" w:color="000000" w:sz="4" w:space="0"/>
            </w:tcBorders>
            <w:shd w:val="clear" w:color="auto" w:fill="auto"/>
            <w:vAlign w:val="center"/>
          </w:tcPr>
          <w:p w14:paraId="2ADB4CC0">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bottom w:val="single" w:color="000000" w:sz="4" w:space="0"/>
              <w:right w:val="single" w:color="000000" w:sz="4" w:space="0"/>
            </w:tcBorders>
            <w:shd w:val="clear" w:color="auto" w:fill="auto"/>
            <w:vAlign w:val="center"/>
          </w:tcPr>
          <w:p w14:paraId="06C7DB27">
            <w:pPr>
              <w:jc w:val="center"/>
              <w:rPr>
                <w:rFonts w:hint="eastAsia" w:ascii="宋体" w:hAnsi="宋体" w:eastAsia="宋体" w:cs="宋体"/>
                <w:i w:val="0"/>
                <w:iCs w:val="0"/>
                <w:color w:val="auto"/>
                <w:sz w:val="18"/>
                <w:szCs w:val="18"/>
                <w:u w:val="none"/>
              </w:rPr>
            </w:pP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962F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应急队伍</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CD55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90D1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建立应急队伍，明确组织架构、组织形式、人员配置、分工职责等内容</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C1BD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查验资料</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FBA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有相关记录文件的，依据符合的程度得0～5分，每发现一处不符合扣1分，扣完为止；无相关文件的，得0分</w:t>
            </w:r>
          </w:p>
        </w:tc>
      </w:tr>
      <w:tr w14:paraId="29E0E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72" w:type="dxa"/>
            <w:vMerge w:val="restart"/>
            <w:tcBorders>
              <w:top w:val="single" w:color="000000" w:sz="4" w:space="0"/>
              <w:left w:val="single" w:color="000000" w:sz="4" w:space="0"/>
              <w:right w:val="single" w:color="000000" w:sz="4" w:space="0"/>
            </w:tcBorders>
            <w:shd w:val="clear" w:color="auto" w:fill="auto"/>
            <w:vAlign w:val="center"/>
          </w:tcPr>
          <w:p w14:paraId="2540476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服务过程（600分，不含延伸服务10分）</w:t>
            </w:r>
          </w:p>
        </w:tc>
        <w:tc>
          <w:tcPr>
            <w:tcW w:w="975" w:type="dxa"/>
            <w:vMerge w:val="restart"/>
            <w:tcBorders>
              <w:top w:val="single" w:color="000000" w:sz="4" w:space="0"/>
              <w:left w:val="single" w:color="000000" w:sz="4" w:space="0"/>
              <w:right w:val="single" w:color="000000" w:sz="4" w:space="0"/>
            </w:tcBorders>
            <w:shd w:val="clear" w:color="auto" w:fill="auto"/>
            <w:vAlign w:val="center"/>
          </w:tcPr>
          <w:p w14:paraId="1F818BC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风险与应急管理（35分）</w:t>
            </w: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F1CC8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应急物资</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2ED7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3159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根据可能发生的安全事故特点和危害， 配备必要的应急救援器材、设备和物资，设立台账，并定期检查、维护和保养</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C388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查看现场应急物资情况.</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DA1E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每发现一处不符合扣1分，扣完为止</w:t>
            </w:r>
          </w:p>
        </w:tc>
      </w:tr>
      <w:tr w14:paraId="1F8FA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972" w:type="dxa"/>
            <w:vMerge w:val="continue"/>
            <w:tcBorders>
              <w:left w:val="single" w:color="000000" w:sz="4" w:space="0"/>
              <w:right w:val="single" w:color="000000" w:sz="4" w:space="0"/>
            </w:tcBorders>
            <w:shd w:val="clear" w:color="auto" w:fill="auto"/>
            <w:vAlign w:val="center"/>
          </w:tcPr>
          <w:p w14:paraId="21AAD63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1C5FA3B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9DA64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应急预案</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289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C131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在事故风险分析和应急资源调查基础上，编制应急预案，包括自然灾害类（如地震、暴雨、台风、雷电、高温等）、意外事故类（如电梯故障困人、大面积停电/停水等）、公共卫生事件（如传染病疫情、食物中毒等）、安全事件类（如火警火灾、群体性冲突、恐怖暴力事件、中暑等）</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4724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查验资料，重点检查标准文件内容是否完善适用，与实际运行是否相符</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BFCA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有相关文件的，依据符合的程度得0～5分，每发现一处不符合扣2分，扣完为止；无相关文件的，得0分</w:t>
            </w:r>
          </w:p>
        </w:tc>
      </w:tr>
      <w:tr w14:paraId="463B9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72" w:type="dxa"/>
            <w:vMerge w:val="continue"/>
            <w:tcBorders>
              <w:left w:val="single" w:color="000000" w:sz="4" w:space="0"/>
              <w:right w:val="single" w:color="000000" w:sz="4" w:space="0"/>
            </w:tcBorders>
            <w:shd w:val="clear" w:color="auto" w:fill="auto"/>
            <w:vAlign w:val="center"/>
          </w:tcPr>
          <w:p w14:paraId="306CFD7B">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1E412AFE">
            <w:pPr>
              <w:jc w:val="center"/>
              <w:rPr>
                <w:rFonts w:hint="eastAsia" w:ascii="宋体" w:hAnsi="宋体" w:eastAsia="宋体" w:cs="宋体"/>
                <w:i w:val="0"/>
                <w:iCs w:val="0"/>
                <w:color w:val="auto"/>
                <w:sz w:val="18"/>
                <w:szCs w:val="18"/>
                <w:u w:val="none"/>
              </w:rPr>
            </w:pP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4CF7D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应急演练</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8AE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C64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制定应急预案的培训计划并组织定期演练，明确不同类别应急预案的演练形式、范围、频次、内容，并做好演练记录，记录完整齐全</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EB67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查验资料，重点查验电梯故障及困人演练（每年至少2次）、灭火和疏散预案演练（每年至少1次），记录是否真实、规范</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F1C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有相关文件的，依据符合的程度得0～10分，每发现一处不符合扣2分，扣完为止；无相关文件的，得0分</w:t>
            </w:r>
          </w:p>
        </w:tc>
      </w:tr>
      <w:tr w14:paraId="4E61C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72" w:type="dxa"/>
            <w:vMerge w:val="continue"/>
            <w:tcBorders>
              <w:left w:val="single" w:color="000000" w:sz="4" w:space="0"/>
              <w:right w:val="single" w:color="000000" w:sz="4" w:space="0"/>
            </w:tcBorders>
            <w:shd w:val="clear" w:color="auto" w:fill="auto"/>
            <w:vAlign w:val="center"/>
          </w:tcPr>
          <w:p w14:paraId="2E27B62F">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bottom w:val="single" w:color="000000" w:sz="4" w:space="0"/>
              <w:right w:val="single" w:color="000000" w:sz="4" w:space="0"/>
            </w:tcBorders>
            <w:shd w:val="clear" w:color="auto" w:fill="auto"/>
            <w:vAlign w:val="center"/>
          </w:tcPr>
          <w:p w14:paraId="29B2272F">
            <w:pPr>
              <w:jc w:val="center"/>
              <w:rPr>
                <w:rFonts w:hint="eastAsia" w:ascii="宋体" w:hAnsi="宋体" w:eastAsia="宋体" w:cs="宋体"/>
                <w:i w:val="0"/>
                <w:iCs w:val="0"/>
                <w:color w:val="auto"/>
                <w:sz w:val="18"/>
                <w:szCs w:val="18"/>
                <w:u w:val="none"/>
              </w:rPr>
            </w:pP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2D8DC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应急处置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BFD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4D97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突发事故处理结束，对突发事件及处置情况进行记录和总结评估</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BCA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查阅突发事件及处置、总结评估记录，重点检查记录是否完整</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656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有相关文件的，依据符合的程度得0～5分，每发现一处不符合扣1分，扣完为止；无相关文件的，得0分</w:t>
            </w:r>
          </w:p>
        </w:tc>
      </w:tr>
      <w:tr w14:paraId="6E584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972" w:type="dxa"/>
            <w:vMerge w:val="continue"/>
            <w:tcBorders>
              <w:left w:val="single" w:color="000000" w:sz="4" w:space="0"/>
              <w:right w:val="single" w:color="000000" w:sz="4" w:space="0"/>
            </w:tcBorders>
            <w:shd w:val="clear" w:color="auto" w:fill="auto"/>
            <w:vAlign w:val="center"/>
          </w:tcPr>
          <w:p w14:paraId="0A6689FA">
            <w:pPr>
              <w:jc w:val="center"/>
              <w:rPr>
                <w:rFonts w:hint="eastAsia" w:ascii="宋体" w:hAnsi="宋体" w:eastAsia="宋体" w:cs="宋体"/>
                <w:i w:val="0"/>
                <w:iCs w:val="0"/>
                <w:color w:val="auto"/>
                <w:sz w:val="18"/>
                <w:szCs w:val="18"/>
                <w:u w:val="none"/>
              </w:rPr>
            </w:pPr>
          </w:p>
        </w:tc>
        <w:tc>
          <w:tcPr>
            <w:tcW w:w="975" w:type="dxa"/>
            <w:vMerge w:val="restart"/>
            <w:tcBorders>
              <w:top w:val="single" w:color="000000" w:sz="4" w:space="0"/>
              <w:left w:val="single" w:color="000000" w:sz="4" w:space="0"/>
              <w:right w:val="single" w:color="000000" w:sz="4" w:space="0"/>
            </w:tcBorders>
            <w:shd w:val="clear" w:color="auto" w:fill="auto"/>
            <w:vAlign w:val="center"/>
          </w:tcPr>
          <w:p w14:paraId="5B002BA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环境管理（130分）</w:t>
            </w: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3F6C3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日常保洁</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DA8E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7BD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按物业服务合同约定，建立保洁卫生标准，对公共部位（包括但不限于大厅、展厅、道路、电梯、电梯厅、走廊、卫生间、天台、车库等）进行清洁，清洁服务记录完整，保存完好</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BAE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查验资料，重点检查制度标准文件内容是否完善适用，与服务约定、实际运行是否相符</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A98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有相关文件的，依据符合的程度得0～30分，每发现一处不符合扣3分，扣完为止；无相关文件的，得0分</w:t>
            </w:r>
          </w:p>
        </w:tc>
      </w:tr>
      <w:tr w14:paraId="12C2D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72" w:type="dxa"/>
            <w:vMerge w:val="continue"/>
            <w:tcBorders>
              <w:left w:val="single" w:color="000000" w:sz="4" w:space="0"/>
              <w:right w:val="single" w:color="000000" w:sz="4" w:space="0"/>
            </w:tcBorders>
            <w:shd w:val="clear" w:color="auto" w:fill="auto"/>
            <w:vAlign w:val="center"/>
          </w:tcPr>
          <w:p w14:paraId="4B8B8486">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5656C5FB">
            <w:pPr>
              <w:jc w:val="center"/>
              <w:rPr>
                <w:rFonts w:hint="eastAsia" w:ascii="宋体" w:hAnsi="宋体" w:eastAsia="宋体" w:cs="宋体"/>
                <w:i w:val="0"/>
                <w:iCs w:val="0"/>
                <w:color w:val="auto"/>
                <w:sz w:val="18"/>
                <w:szCs w:val="18"/>
                <w:u w:val="none"/>
              </w:rPr>
            </w:pPr>
          </w:p>
        </w:tc>
        <w:tc>
          <w:tcPr>
            <w:tcW w:w="15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2DB14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专项保洁</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9FB5B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739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制定有专项清洁计划，对特定大理石地面、木地板、地毯、金属、高位玻璃等进行定期清洁</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3BE82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查验资料，重点检查制度标准文件内容是否完善适用，与服务约定、实际运行是否相符</w:t>
            </w:r>
          </w:p>
        </w:tc>
        <w:tc>
          <w:tcPr>
            <w:tcW w:w="33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EE82A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有相关文件的，依据符合的程度得0～30分；每发现一处不符合扣3分，扣完为止无相关文件的，得0分</w:t>
            </w:r>
          </w:p>
        </w:tc>
      </w:tr>
      <w:tr w14:paraId="43789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72" w:type="dxa"/>
            <w:vMerge w:val="continue"/>
            <w:tcBorders>
              <w:left w:val="single" w:color="000000" w:sz="4" w:space="0"/>
              <w:right w:val="single" w:color="000000" w:sz="4" w:space="0"/>
            </w:tcBorders>
            <w:shd w:val="clear" w:color="auto" w:fill="auto"/>
            <w:vAlign w:val="center"/>
          </w:tcPr>
          <w:p w14:paraId="5698C92D">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71E6EE3C">
            <w:pPr>
              <w:jc w:val="center"/>
              <w:rPr>
                <w:rFonts w:hint="eastAsia" w:ascii="宋体" w:hAnsi="宋体" w:eastAsia="宋体" w:cs="宋体"/>
                <w:i w:val="0"/>
                <w:iCs w:val="0"/>
                <w:color w:val="auto"/>
                <w:sz w:val="18"/>
                <w:szCs w:val="18"/>
                <w:u w:val="none"/>
              </w:rPr>
            </w:pPr>
          </w:p>
        </w:tc>
        <w:tc>
          <w:tcPr>
            <w:tcW w:w="15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194FB">
            <w:pPr>
              <w:jc w:val="center"/>
              <w:rPr>
                <w:rFonts w:hint="eastAsia" w:ascii="宋体" w:hAnsi="宋体" w:eastAsia="宋体" w:cs="宋体"/>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3C0C6">
            <w:pPr>
              <w:jc w:val="center"/>
              <w:rPr>
                <w:rFonts w:hint="eastAsia" w:ascii="宋体" w:hAnsi="宋体" w:eastAsia="宋体" w:cs="宋体"/>
                <w:i w:val="0"/>
                <w:iCs w:val="0"/>
                <w:color w:val="auto"/>
                <w:sz w:val="18"/>
                <w:szCs w:val="18"/>
                <w:u w:val="none"/>
              </w:rPr>
            </w:pP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A95A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对外委托相应资质的服务机构的，做好监督工作；作业前提前向客户提醒公示，不影响客户正常工作专项清洁服务记录完整，保存完好</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28C73">
            <w:pPr>
              <w:jc w:val="left"/>
              <w:rPr>
                <w:rFonts w:hint="eastAsia" w:ascii="宋体" w:hAnsi="宋体" w:eastAsia="宋体" w:cs="宋体"/>
                <w:i w:val="0"/>
                <w:iCs w:val="0"/>
                <w:color w:val="auto"/>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9B258">
            <w:pPr>
              <w:jc w:val="left"/>
              <w:rPr>
                <w:rFonts w:hint="eastAsia" w:ascii="宋体" w:hAnsi="宋体" w:eastAsia="宋体" w:cs="宋体"/>
                <w:i w:val="0"/>
                <w:iCs w:val="0"/>
                <w:color w:val="auto"/>
                <w:sz w:val="18"/>
                <w:szCs w:val="18"/>
                <w:u w:val="none"/>
              </w:rPr>
            </w:pPr>
          </w:p>
        </w:tc>
      </w:tr>
      <w:tr w14:paraId="44F8E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72" w:type="dxa"/>
            <w:vMerge w:val="continue"/>
            <w:tcBorders>
              <w:left w:val="single" w:color="000000" w:sz="4" w:space="0"/>
              <w:right w:val="single" w:color="000000" w:sz="4" w:space="0"/>
            </w:tcBorders>
            <w:shd w:val="clear" w:color="auto" w:fill="auto"/>
            <w:vAlign w:val="center"/>
          </w:tcPr>
          <w:p w14:paraId="24CCA1D3">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484E51BE">
            <w:pPr>
              <w:jc w:val="center"/>
              <w:rPr>
                <w:rFonts w:hint="eastAsia" w:ascii="宋体" w:hAnsi="宋体" w:eastAsia="宋体" w:cs="宋体"/>
                <w:i w:val="0"/>
                <w:iCs w:val="0"/>
                <w:color w:val="auto"/>
                <w:sz w:val="18"/>
                <w:szCs w:val="18"/>
                <w:u w:val="none"/>
              </w:rPr>
            </w:pPr>
          </w:p>
        </w:tc>
        <w:tc>
          <w:tcPr>
            <w:tcW w:w="15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228FF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垃圾管理</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53012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890B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①</w:t>
            </w:r>
            <w:r>
              <w:rPr>
                <w:rFonts w:hint="eastAsia" w:ascii="宋体" w:hAnsi="宋体" w:eastAsia="宋体" w:cs="宋体"/>
                <w:i w:val="0"/>
                <w:iCs w:val="0"/>
                <w:color w:val="auto"/>
                <w:kern w:val="0"/>
                <w:sz w:val="18"/>
                <w:szCs w:val="18"/>
                <w:u w:val="none"/>
                <w:lang w:val="en-US" w:eastAsia="zh-CN" w:bidi="ar"/>
              </w:rPr>
              <w:t>应按照垃圾分类的要求，进行分类投放、分类收集、分类运输、分类处置；</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82188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查看现场+查验文件记录</w:t>
            </w:r>
          </w:p>
        </w:tc>
        <w:tc>
          <w:tcPr>
            <w:tcW w:w="33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3FA3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依据现场符合要求的程度得0～30分，每发现一处不符合扣3分，扣完为止</w:t>
            </w:r>
          </w:p>
        </w:tc>
      </w:tr>
      <w:tr w14:paraId="04852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972" w:type="dxa"/>
            <w:vMerge w:val="continue"/>
            <w:tcBorders>
              <w:left w:val="single" w:color="000000" w:sz="4" w:space="0"/>
              <w:right w:val="single" w:color="000000" w:sz="4" w:space="0"/>
            </w:tcBorders>
            <w:shd w:val="clear" w:color="auto" w:fill="auto"/>
            <w:vAlign w:val="center"/>
          </w:tcPr>
          <w:p w14:paraId="1DA12528">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03DBCCC7">
            <w:pPr>
              <w:jc w:val="center"/>
              <w:rPr>
                <w:rFonts w:hint="eastAsia" w:ascii="宋体" w:hAnsi="宋体" w:eastAsia="宋体" w:cs="宋体"/>
                <w:i w:val="0"/>
                <w:iCs w:val="0"/>
                <w:color w:val="auto"/>
                <w:sz w:val="18"/>
                <w:szCs w:val="18"/>
                <w:u w:val="none"/>
              </w:rPr>
            </w:pPr>
          </w:p>
        </w:tc>
        <w:tc>
          <w:tcPr>
            <w:tcW w:w="15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20F87">
            <w:pPr>
              <w:jc w:val="center"/>
              <w:rPr>
                <w:rFonts w:hint="eastAsia" w:ascii="宋体" w:hAnsi="宋体" w:eastAsia="宋体" w:cs="宋体"/>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E5E77">
            <w:pPr>
              <w:jc w:val="center"/>
              <w:rPr>
                <w:rFonts w:hint="eastAsia" w:ascii="宋体" w:hAnsi="宋体" w:eastAsia="宋体" w:cs="宋体"/>
                <w:i w:val="0"/>
                <w:iCs w:val="0"/>
                <w:color w:val="auto"/>
                <w:sz w:val="18"/>
                <w:szCs w:val="18"/>
                <w:u w:val="none"/>
              </w:rPr>
            </w:pP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1019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②</w:t>
            </w:r>
            <w:r>
              <w:rPr>
                <w:rFonts w:hint="eastAsia" w:ascii="宋体" w:hAnsi="宋体" w:eastAsia="宋体" w:cs="宋体"/>
                <w:i w:val="0"/>
                <w:iCs w:val="0"/>
                <w:color w:val="auto"/>
                <w:kern w:val="0"/>
                <w:sz w:val="18"/>
                <w:szCs w:val="18"/>
                <w:u w:val="none"/>
                <w:lang w:val="en-US" w:eastAsia="zh-CN" w:bidi="ar"/>
              </w:rPr>
              <w:t>设置垃圾集中收集点和定时投放点，配备垃圾分类容器，张贴分类标识和分类投放指引，并定期清洁消杀；</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1553A">
            <w:pPr>
              <w:jc w:val="left"/>
              <w:rPr>
                <w:rFonts w:hint="eastAsia" w:ascii="宋体" w:hAnsi="宋体" w:eastAsia="宋体" w:cs="宋体"/>
                <w:i w:val="0"/>
                <w:iCs w:val="0"/>
                <w:color w:val="auto"/>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67810">
            <w:pPr>
              <w:jc w:val="left"/>
              <w:rPr>
                <w:rFonts w:hint="eastAsia" w:ascii="宋体" w:hAnsi="宋体" w:eastAsia="宋体" w:cs="宋体"/>
                <w:i w:val="0"/>
                <w:iCs w:val="0"/>
                <w:color w:val="auto"/>
                <w:sz w:val="18"/>
                <w:szCs w:val="18"/>
                <w:u w:val="none"/>
              </w:rPr>
            </w:pPr>
          </w:p>
        </w:tc>
      </w:tr>
      <w:tr w14:paraId="03869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72" w:type="dxa"/>
            <w:vMerge w:val="continue"/>
            <w:tcBorders>
              <w:left w:val="single" w:color="000000" w:sz="4" w:space="0"/>
              <w:bottom w:val="single" w:color="000000" w:sz="4" w:space="0"/>
              <w:right w:val="single" w:color="000000" w:sz="4" w:space="0"/>
            </w:tcBorders>
            <w:shd w:val="clear" w:color="auto" w:fill="auto"/>
            <w:vAlign w:val="center"/>
          </w:tcPr>
          <w:p w14:paraId="5AAAF8F0">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bottom w:val="single" w:color="000000" w:sz="4" w:space="0"/>
              <w:right w:val="single" w:color="000000" w:sz="4" w:space="0"/>
            </w:tcBorders>
            <w:shd w:val="clear" w:color="auto" w:fill="auto"/>
            <w:vAlign w:val="center"/>
          </w:tcPr>
          <w:p w14:paraId="4264396E">
            <w:pPr>
              <w:jc w:val="center"/>
              <w:rPr>
                <w:rFonts w:hint="eastAsia" w:ascii="宋体" w:hAnsi="宋体" w:eastAsia="宋体" w:cs="宋体"/>
                <w:i w:val="0"/>
                <w:iCs w:val="0"/>
                <w:color w:val="auto"/>
                <w:sz w:val="18"/>
                <w:szCs w:val="18"/>
                <w:u w:val="none"/>
              </w:rPr>
            </w:pPr>
          </w:p>
        </w:tc>
        <w:tc>
          <w:tcPr>
            <w:tcW w:w="15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11075">
            <w:pPr>
              <w:jc w:val="center"/>
              <w:rPr>
                <w:rFonts w:hint="eastAsia" w:ascii="宋体" w:hAnsi="宋体" w:eastAsia="宋体" w:cs="宋体"/>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D42C1">
            <w:pPr>
              <w:jc w:val="center"/>
              <w:rPr>
                <w:rFonts w:hint="eastAsia" w:ascii="宋体" w:hAnsi="宋体" w:eastAsia="宋体" w:cs="宋体"/>
                <w:i w:val="0"/>
                <w:iCs w:val="0"/>
                <w:color w:val="auto"/>
                <w:sz w:val="18"/>
                <w:szCs w:val="18"/>
                <w:u w:val="none"/>
              </w:rPr>
            </w:pP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CA55B">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③</w:t>
            </w:r>
            <w:r>
              <w:rPr>
                <w:rFonts w:hint="eastAsia" w:ascii="宋体" w:hAnsi="宋体" w:eastAsia="宋体" w:cs="宋体"/>
                <w:i w:val="0"/>
                <w:iCs w:val="0"/>
                <w:color w:val="auto"/>
                <w:kern w:val="0"/>
                <w:sz w:val="18"/>
                <w:szCs w:val="18"/>
                <w:u w:val="none"/>
                <w:lang w:val="en-US" w:eastAsia="zh-CN" w:bidi="ar"/>
              </w:rPr>
              <w:t>应监督餐饮、超市等商业的卫生，及时清运各类垃圾；</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E75AC">
            <w:pPr>
              <w:jc w:val="left"/>
              <w:rPr>
                <w:rFonts w:hint="eastAsia" w:ascii="宋体" w:hAnsi="宋体" w:eastAsia="宋体" w:cs="宋体"/>
                <w:i w:val="0"/>
                <w:iCs w:val="0"/>
                <w:color w:val="auto"/>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5720C">
            <w:pPr>
              <w:jc w:val="left"/>
              <w:rPr>
                <w:rFonts w:hint="eastAsia" w:ascii="宋体" w:hAnsi="宋体" w:eastAsia="宋体" w:cs="宋体"/>
                <w:i w:val="0"/>
                <w:iCs w:val="0"/>
                <w:color w:val="auto"/>
                <w:sz w:val="18"/>
                <w:szCs w:val="18"/>
                <w:u w:val="none"/>
              </w:rPr>
            </w:pPr>
          </w:p>
        </w:tc>
      </w:tr>
      <w:tr w14:paraId="697FD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72" w:type="dxa"/>
            <w:vMerge w:val="restart"/>
            <w:tcBorders>
              <w:top w:val="single" w:color="000000" w:sz="4" w:space="0"/>
              <w:left w:val="single" w:color="000000" w:sz="4" w:space="0"/>
              <w:right w:val="single" w:color="000000" w:sz="4" w:space="0"/>
            </w:tcBorders>
            <w:shd w:val="clear" w:color="auto" w:fill="auto"/>
            <w:vAlign w:val="center"/>
          </w:tcPr>
          <w:p w14:paraId="44C908D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服务过程（600分，不含延伸服务10分）</w:t>
            </w:r>
          </w:p>
        </w:tc>
        <w:tc>
          <w:tcPr>
            <w:tcW w:w="975" w:type="dxa"/>
            <w:vMerge w:val="restart"/>
            <w:tcBorders>
              <w:top w:val="single" w:color="000000" w:sz="4" w:space="0"/>
              <w:left w:val="single" w:color="000000" w:sz="4" w:space="0"/>
              <w:right w:val="single" w:color="000000" w:sz="4" w:space="0"/>
            </w:tcBorders>
            <w:shd w:val="clear" w:color="auto" w:fill="auto"/>
            <w:vAlign w:val="center"/>
          </w:tcPr>
          <w:p w14:paraId="1B13E7A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环境管理（130分）</w:t>
            </w:r>
          </w:p>
        </w:tc>
        <w:tc>
          <w:tcPr>
            <w:tcW w:w="15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E6370">
            <w:pPr>
              <w:jc w:val="center"/>
              <w:rPr>
                <w:rFonts w:hint="eastAsia" w:ascii="宋体" w:hAnsi="宋体" w:eastAsia="宋体" w:cs="宋体"/>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61C54">
            <w:pPr>
              <w:jc w:val="center"/>
              <w:rPr>
                <w:rFonts w:hint="eastAsia" w:ascii="宋体" w:hAnsi="宋体" w:eastAsia="宋体" w:cs="宋体"/>
                <w:i w:val="0"/>
                <w:iCs w:val="0"/>
                <w:color w:val="auto"/>
                <w:sz w:val="18"/>
                <w:szCs w:val="18"/>
                <w:u w:val="none"/>
              </w:rPr>
            </w:pP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9B3C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④</w:t>
            </w:r>
            <w:r>
              <w:rPr>
                <w:rFonts w:hint="eastAsia" w:ascii="宋体" w:hAnsi="宋体" w:eastAsia="宋体" w:cs="宋体"/>
                <w:i w:val="0"/>
                <w:iCs w:val="0"/>
                <w:color w:val="auto"/>
                <w:kern w:val="0"/>
                <w:sz w:val="18"/>
                <w:szCs w:val="18"/>
                <w:u w:val="none"/>
                <w:lang w:val="en-US" w:eastAsia="zh-CN" w:bidi="ar"/>
              </w:rPr>
              <w:t>垃圾收集清运、收集地点清洁等有完整记录；</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C1CF8">
            <w:pPr>
              <w:jc w:val="left"/>
              <w:rPr>
                <w:rFonts w:hint="eastAsia" w:ascii="宋体" w:hAnsi="宋体" w:eastAsia="宋体" w:cs="宋体"/>
                <w:i w:val="0"/>
                <w:iCs w:val="0"/>
                <w:color w:val="auto"/>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1E646">
            <w:pPr>
              <w:jc w:val="left"/>
              <w:rPr>
                <w:rFonts w:hint="eastAsia" w:ascii="宋体" w:hAnsi="宋体" w:eastAsia="宋体" w:cs="宋体"/>
                <w:i w:val="0"/>
                <w:iCs w:val="0"/>
                <w:color w:val="auto"/>
                <w:sz w:val="18"/>
                <w:szCs w:val="18"/>
                <w:u w:val="none"/>
              </w:rPr>
            </w:pPr>
          </w:p>
        </w:tc>
      </w:tr>
      <w:tr w14:paraId="678D8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972" w:type="dxa"/>
            <w:vMerge w:val="continue"/>
            <w:tcBorders>
              <w:left w:val="single" w:color="000000" w:sz="4" w:space="0"/>
              <w:right w:val="single" w:color="000000" w:sz="4" w:space="0"/>
            </w:tcBorders>
            <w:shd w:val="clear" w:color="auto" w:fill="auto"/>
            <w:vAlign w:val="center"/>
          </w:tcPr>
          <w:p w14:paraId="186D3D81">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4D9EDF36">
            <w:pPr>
              <w:jc w:val="center"/>
              <w:rPr>
                <w:rFonts w:hint="eastAsia" w:ascii="宋体" w:hAnsi="宋体" w:eastAsia="宋体" w:cs="宋体"/>
                <w:i w:val="0"/>
                <w:iCs w:val="0"/>
                <w:color w:val="auto"/>
                <w:sz w:val="18"/>
                <w:szCs w:val="18"/>
                <w:u w:val="none"/>
              </w:rPr>
            </w:pPr>
          </w:p>
        </w:tc>
        <w:tc>
          <w:tcPr>
            <w:tcW w:w="15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F69AF">
            <w:pPr>
              <w:jc w:val="center"/>
              <w:rPr>
                <w:rFonts w:hint="eastAsia" w:ascii="宋体" w:hAnsi="宋体" w:eastAsia="宋体" w:cs="宋体"/>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183B3">
            <w:pPr>
              <w:jc w:val="center"/>
              <w:rPr>
                <w:rFonts w:hint="eastAsia" w:ascii="宋体" w:hAnsi="宋体" w:eastAsia="宋体" w:cs="宋体"/>
                <w:i w:val="0"/>
                <w:iCs w:val="0"/>
                <w:color w:val="auto"/>
                <w:sz w:val="18"/>
                <w:szCs w:val="18"/>
                <w:u w:val="none"/>
              </w:rPr>
            </w:pP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FA029">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⑤</w:t>
            </w:r>
            <w:r>
              <w:rPr>
                <w:rFonts w:hint="eastAsia" w:ascii="宋体" w:hAnsi="宋体" w:eastAsia="宋体" w:cs="宋体"/>
                <w:i w:val="0"/>
                <w:iCs w:val="0"/>
                <w:color w:val="auto"/>
                <w:kern w:val="0"/>
                <w:sz w:val="18"/>
                <w:szCs w:val="18"/>
                <w:u w:val="none"/>
                <w:lang w:val="en-US" w:eastAsia="zh-CN" w:bidi="ar"/>
              </w:rPr>
              <w:t>建筑垃圾应装袋处理，应在指定地点分类集中堆放，及时外运，且临时堆放场所应设置防泄漏、防飞扬等设施</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8742F">
            <w:pPr>
              <w:jc w:val="left"/>
              <w:rPr>
                <w:rFonts w:hint="eastAsia" w:ascii="宋体" w:hAnsi="宋体" w:eastAsia="宋体" w:cs="宋体"/>
                <w:i w:val="0"/>
                <w:iCs w:val="0"/>
                <w:color w:val="auto"/>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39171">
            <w:pPr>
              <w:jc w:val="left"/>
              <w:rPr>
                <w:rFonts w:hint="eastAsia" w:ascii="宋体" w:hAnsi="宋体" w:eastAsia="宋体" w:cs="宋体"/>
                <w:i w:val="0"/>
                <w:iCs w:val="0"/>
                <w:color w:val="auto"/>
                <w:sz w:val="18"/>
                <w:szCs w:val="18"/>
                <w:u w:val="none"/>
              </w:rPr>
            </w:pPr>
          </w:p>
        </w:tc>
      </w:tr>
      <w:tr w14:paraId="62AC4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972" w:type="dxa"/>
            <w:vMerge w:val="continue"/>
            <w:tcBorders>
              <w:left w:val="single" w:color="000000" w:sz="4" w:space="0"/>
              <w:right w:val="single" w:color="000000" w:sz="4" w:space="0"/>
            </w:tcBorders>
            <w:shd w:val="clear" w:color="auto" w:fill="auto"/>
            <w:vAlign w:val="center"/>
          </w:tcPr>
          <w:p w14:paraId="57AE4F9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46ABC9F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p>
        </w:tc>
        <w:tc>
          <w:tcPr>
            <w:tcW w:w="15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C879E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消杀管理</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CDAC2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E631">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①</w:t>
            </w:r>
            <w:r>
              <w:rPr>
                <w:rFonts w:hint="eastAsia" w:ascii="宋体" w:hAnsi="宋体" w:eastAsia="宋体" w:cs="宋体"/>
                <w:i w:val="0"/>
                <w:iCs w:val="0"/>
                <w:color w:val="auto"/>
                <w:kern w:val="0"/>
                <w:sz w:val="18"/>
                <w:szCs w:val="18"/>
                <w:u w:val="none"/>
                <w:lang w:val="en-US" w:eastAsia="zh-CN" w:bidi="ar"/>
              </w:rPr>
              <w:t>制定有害生物防治计划，定期进行专项消杀工作，做好用药及工具安全管理；</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5E999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查看现场及文件记录</w:t>
            </w:r>
          </w:p>
        </w:tc>
        <w:tc>
          <w:tcPr>
            <w:tcW w:w="33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FF7F5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依据现场符合要求的程度得0～10分，每发现一处不符合扣1分，扣完为止</w:t>
            </w:r>
          </w:p>
        </w:tc>
      </w:tr>
      <w:tr w14:paraId="57561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72" w:type="dxa"/>
            <w:vMerge w:val="continue"/>
            <w:tcBorders>
              <w:left w:val="single" w:color="000000" w:sz="4" w:space="0"/>
              <w:right w:val="single" w:color="000000" w:sz="4" w:space="0"/>
            </w:tcBorders>
            <w:shd w:val="clear" w:color="auto" w:fill="auto"/>
            <w:vAlign w:val="center"/>
          </w:tcPr>
          <w:p w14:paraId="5997AC0B">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47653D77">
            <w:pPr>
              <w:jc w:val="center"/>
              <w:rPr>
                <w:rFonts w:hint="eastAsia" w:ascii="宋体" w:hAnsi="宋体" w:eastAsia="宋体" w:cs="宋体"/>
                <w:i w:val="0"/>
                <w:iCs w:val="0"/>
                <w:color w:val="auto"/>
                <w:sz w:val="18"/>
                <w:szCs w:val="18"/>
                <w:u w:val="none"/>
              </w:rPr>
            </w:pPr>
          </w:p>
        </w:tc>
        <w:tc>
          <w:tcPr>
            <w:tcW w:w="15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FBEA7">
            <w:pPr>
              <w:jc w:val="center"/>
              <w:rPr>
                <w:rFonts w:hint="eastAsia" w:ascii="宋体" w:hAnsi="宋体" w:eastAsia="宋体" w:cs="宋体"/>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DFF52">
            <w:pPr>
              <w:jc w:val="center"/>
              <w:rPr>
                <w:rFonts w:hint="eastAsia" w:ascii="宋体" w:hAnsi="宋体" w:eastAsia="宋体" w:cs="宋体"/>
                <w:i w:val="0"/>
                <w:iCs w:val="0"/>
                <w:color w:val="auto"/>
                <w:sz w:val="18"/>
                <w:szCs w:val="18"/>
                <w:u w:val="none"/>
              </w:rPr>
            </w:pP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34BD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②作业前，应提前通知客户做好防范，在作业现场应设置警示标识；</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22195">
            <w:pPr>
              <w:jc w:val="left"/>
              <w:rPr>
                <w:rFonts w:hint="eastAsia" w:ascii="宋体" w:hAnsi="宋体" w:eastAsia="宋体" w:cs="宋体"/>
                <w:i w:val="0"/>
                <w:iCs w:val="0"/>
                <w:color w:val="auto"/>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CAF91">
            <w:pPr>
              <w:jc w:val="left"/>
              <w:rPr>
                <w:rFonts w:hint="eastAsia" w:ascii="宋体" w:hAnsi="宋体" w:eastAsia="宋体" w:cs="宋体"/>
                <w:i w:val="0"/>
                <w:iCs w:val="0"/>
                <w:color w:val="auto"/>
                <w:sz w:val="18"/>
                <w:szCs w:val="18"/>
                <w:u w:val="none"/>
              </w:rPr>
            </w:pPr>
          </w:p>
        </w:tc>
      </w:tr>
      <w:tr w14:paraId="451BC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72" w:type="dxa"/>
            <w:vMerge w:val="continue"/>
            <w:tcBorders>
              <w:left w:val="single" w:color="000000" w:sz="4" w:space="0"/>
              <w:right w:val="single" w:color="000000" w:sz="4" w:space="0"/>
            </w:tcBorders>
            <w:shd w:val="clear" w:color="auto" w:fill="auto"/>
            <w:vAlign w:val="center"/>
          </w:tcPr>
          <w:p w14:paraId="4A0AA411">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4E912C8B">
            <w:pPr>
              <w:jc w:val="center"/>
              <w:rPr>
                <w:rFonts w:hint="eastAsia" w:ascii="宋体" w:hAnsi="宋体" w:eastAsia="宋体" w:cs="宋体"/>
                <w:i w:val="0"/>
                <w:iCs w:val="0"/>
                <w:color w:val="auto"/>
                <w:sz w:val="18"/>
                <w:szCs w:val="18"/>
                <w:u w:val="none"/>
              </w:rPr>
            </w:pPr>
          </w:p>
        </w:tc>
        <w:tc>
          <w:tcPr>
            <w:tcW w:w="15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7629F">
            <w:pPr>
              <w:jc w:val="center"/>
              <w:rPr>
                <w:rFonts w:hint="eastAsia" w:ascii="宋体" w:hAnsi="宋体" w:eastAsia="宋体" w:cs="宋体"/>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683B9">
            <w:pPr>
              <w:jc w:val="center"/>
              <w:rPr>
                <w:rFonts w:hint="eastAsia" w:ascii="宋体" w:hAnsi="宋体" w:eastAsia="宋体" w:cs="宋体"/>
                <w:i w:val="0"/>
                <w:iCs w:val="0"/>
                <w:color w:val="auto"/>
                <w:sz w:val="18"/>
                <w:szCs w:val="18"/>
                <w:u w:val="none"/>
              </w:rPr>
            </w:pP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8EC6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③做好消杀药品、工具安全管理，出入库、使用记录完整，保存完好</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A2878">
            <w:pPr>
              <w:jc w:val="left"/>
              <w:rPr>
                <w:rFonts w:hint="eastAsia" w:ascii="宋体" w:hAnsi="宋体" w:eastAsia="宋体" w:cs="宋体"/>
                <w:i w:val="0"/>
                <w:iCs w:val="0"/>
                <w:color w:val="auto"/>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0B352">
            <w:pPr>
              <w:jc w:val="left"/>
              <w:rPr>
                <w:rFonts w:hint="eastAsia" w:ascii="宋体" w:hAnsi="宋体" w:eastAsia="宋体" w:cs="宋体"/>
                <w:i w:val="0"/>
                <w:iCs w:val="0"/>
                <w:color w:val="auto"/>
                <w:sz w:val="18"/>
                <w:szCs w:val="18"/>
                <w:u w:val="none"/>
              </w:rPr>
            </w:pPr>
          </w:p>
        </w:tc>
      </w:tr>
      <w:tr w14:paraId="630F5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72" w:type="dxa"/>
            <w:vMerge w:val="continue"/>
            <w:tcBorders>
              <w:left w:val="single" w:color="000000" w:sz="4" w:space="0"/>
              <w:right w:val="single" w:color="000000" w:sz="4" w:space="0"/>
            </w:tcBorders>
            <w:shd w:val="clear" w:color="auto" w:fill="auto"/>
            <w:vAlign w:val="center"/>
          </w:tcPr>
          <w:p w14:paraId="6EEDD6DE">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1A95839D">
            <w:pPr>
              <w:jc w:val="center"/>
              <w:rPr>
                <w:rFonts w:hint="eastAsia" w:ascii="宋体" w:hAnsi="宋体" w:eastAsia="宋体" w:cs="宋体"/>
                <w:i w:val="0"/>
                <w:iCs w:val="0"/>
                <w:color w:val="auto"/>
                <w:sz w:val="18"/>
                <w:szCs w:val="18"/>
                <w:u w:val="none"/>
              </w:rPr>
            </w:pPr>
          </w:p>
        </w:tc>
        <w:tc>
          <w:tcPr>
            <w:tcW w:w="15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B2E43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绿化养护</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36A93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DE6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①应制定绿化养护管理方案，建立绿植养护台账，定期更新</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4ACC5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查看现场</w:t>
            </w:r>
          </w:p>
        </w:tc>
        <w:tc>
          <w:tcPr>
            <w:tcW w:w="33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E393C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依据现场符合要求的程度得0～30分，每发现一处不符合扣3分，扣完为止</w:t>
            </w:r>
          </w:p>
        </w:tc>
      </w:tr>
      <w:tr w14:paraId="051E3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72" w:type="dxa"/>
            <w:vMerge w:val="continue"/>
            <w:tcBorders>
              <w:left w:val="single" w:color="000000" w:sz="4" w:space="0"/>
              <w:right w:val="single" w:color="000000" w:sz="4" w:space="0"/>
            </w:tcBorders>
            <w:shd w:val="clear" w:color="auto" w:fill="auto"/>
            <w:vAlign w:val="center"/>
          </w:tcPr>
          <w:p w14:paraId="1DA50939">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0D831C5A">
            <w:pPr>
              <w:jc w:val="center"/>
              <w:rPr>
                <w:rFonts w:hint="eastAsia" w:ascii="宋体" w:hAnsi="宋体" w:eastAsia="宋体" w:cs="宋体"/>
                <w:i w:val="0"/>
                <w:iCs w:val="0"/>
                <w:color w:val="auto"/>
                <w:sz w:val="18"/>
                <w:szCs w:val="18"/>
                <w:u w:val="none"/>
              </w:rPr>
            </w:pPr>
          </w:p>
        </w:tc>
        <w:tc>
          <w:tcPr>
            <w:tcW w:w="15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2E2BD">
            <w:pPr>
              <w:jc w:val="center"/>
              <w:rPr>
                <w:rFonts w:hint="eastAsia" w:ascii="宋体" w:hAnsi="宋体" w:eastAsia="宋体" w:cs="宋体"/>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238FB">
            <w:pPr>
              <w:jc w:val="center"/>
              <w:rPr>
                <w:rFonts w:hint="eastAsia" w:ascii="宋体" w:hAnsi="宋体" w:eastAsia="宋体" w:cs="宋体"/>
                <w:i w:val="0"/>
                <w:iCs w:val="0"/>
                <w:color w:val="auto"/>
                <w:sz w:val="18"/>
                <w:szCs w:val="18"/>
                <w:u w:val="none"/>
              </w:rPr>
            </w:pP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BC7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②绿地应无改变用途和破坏、践踏、占用现象，树木应无悬挂物及晾晒物，设置爱护绿化提示牌、树木铭牌</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C86A7">
            <w:pPr>
              <w:jc w:val="left"/>
              <w:rPr>
                <w:rFonts w:hint="eastAsia" w:ascii="宋体" w:hAnsi="宋体" w:eastAsia="宋体" w:cs="宋体"/>
                <w:i w:val="0"/>
                <w:iCs w:val="0"/>
                <w:color w:val="auto"/>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26E19">
            <w:pPr>
              <w:jc w:val="left"/>
              <w:rPr>
                <w:rFonts w:hint="eastAsia" w:ascii="宋体" w:hAnsi="宋体" w:eastAsia="宋体" w:cs="宋体"/>
                <w:i w:val="0"/>
                <w:iCs w:val="0"/>
                <w:color w:val="auto"/>
                <w:sz w:val="18"/>
                <w:szCs w:val="18"/>
                <w:u w:val="none"/>
              </w:rPr>
            </w:pPr>
          </w:p>
        </w:tc>
      </w:tr>
      <w:tr w14:paraId="25B81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72" w:type="dxa"/>
            <w:vMerge w:val="continue"/>
            <w:tcBorders>
              <w:left w:val="single" w:color="000000" w:sz="4" w:space="0"/>
              <w:right w:val="single" w:color="000000" w:sz="4" w:space="0"/>
            </w:tcBorders>
            <w:shd w:val="clear" w:color="auto" w:fill="auto"/>
            <w:vAlign w:val="center"/>
          </w:tcPr>
          <w:p w14:paraId="51DF09E0">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7DD4EA15">
            <w:pPr>
              <w:jc w:val="center"/>
              <w:rPr>
                <w:rFonts w:hint="eastAsia" w:ascii="宋体" w:hAnsi="宋体" w:eastAsia="宋体" w:cs="宋体"/>
                <w:i w:val="0"/>
                <w:iCs w:val="0"/>
                <w:color w:val="auto"/>
                <w:sz w:val="18"/>
                <w:szCs w:val="18"/>
                <w:u w:val="none"/>
              </w:rPr>
            </w:pPr>
          </w:p>
        </w:tc>
        <w:tc>
          <w:tcPr>
            <w:tcW w:w="15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AD4C0">
            <w:pPr>
              <w:jc w:val="center"/>
              <w:rPr>
                <w:rFonts w:hint="eastAsia" w:ascii="宋体" w:hAnsi="宋体" w:eastAsia="宋体" w:cs="宋体"/>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0DAE9">
            <w:pPr>
              <w:jc w:val="center"/>
              <w:rPr>
                <w:rFonts w:hint="eastAsia" w:ascii="宋体" w:hAnsi="宋体" w:eastAsia="宋体" w:cs="宋体"/>
                <w:i w:val="0"/>
                <w:iCs w:val="0"/>
                <w:color w:val="auto"/>
                <w:sz w:val="18"/>
                <w:szCs w:val="18"/>
                <w:u w:val="none"/>
              </w:rPr>
            </w:pP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7CC6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③根据天气、土壤和植物生长情况，按制度标准要求落实执行绿化养护工作，合理灌溉、按时修剪、清除杂草、病虫害防治、移栽补种、施肥松土等</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259C7">
            <w:pPr>
              <w:jc w:val="left"/>
              <w:rPr>
                <w:rFonts w:hint="eastAsia" w:ascii="宋体" w:hAnsi="宋体" w:eastAsia="宋体" w:cs="宋体"/>
                <w:i w:val="0"/>
                <w:iCs w:val="0"/>
                <w:color w:val="auto"/>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BD2D9">
            <w:pPr>
              <w:jc w:val="left"/>
              <w:rPr>
                <w:rFonts w:hint="eastAsia" w:ascii="宋体" w:hAnsi="宋体" w:eastAsia="宋体" w:cs="宋体"/>
                <w:i w:val="0"/>
                <w:iCs w:val="0"/>
                <w:color w:val="auto"/>
                <w:sz w:val="18"/>
                <w:szCs w:val="18"/>
                <w:u w:val="none"/>
              </w:rPr>
            </w:pPr>
          </w:p>
        </w:tc>
      </w:tr>
      <w:tr w14:paraId="0FB03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72" w:type="dxa"/>
            <w:vMerge w:val="continue"/>
            <w:tcBorders>
              <w:left w:val="single" w:color="000000" w:sz="4" w:space="0"/>
              <w:right w:val="single" w:color="000000" w:sz="4" w:space="0"/>
            </w:tcBorders>
            <w:shd w:val="clear" w:color="auto" w:fill="auto"/>
            <w:vAlign w:val="center"/>
          </w:tcPr>
          <w:p w14:paraId="2203BC12">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bottom w:val="single" w:color="000000" w:sz="4" w:space="0"/>
              <w:right w:val="single" w:color="000000" w:sz="4" w:space="0"/>
            </w:tcBorders>
            <w:shd w:val="clear" w:color="auto" w:fill="auto"/>
            <w:vAlign w:val="center"/>
          </w:tcPr>
          <w:p w14:paraId="0AFE9688">
            <w:pPr>
              <w:jc w:val="center"/>
              <w:rPr>
                <w:rFonts w:hint="eastAsia" w:ascii="宋体" w:hAnsi="宋体" w:eastAsia="宋体" w:cs="宋体"/>
                <w:i w:val="0"/>
                <w:iCs w:val="0"/>
                <w:color w:val="auto"/>
                <w:sz w:val="18"/>
                <w:szCs w:val="18"/>
                <w:u w:val="none"/>
              </w:rPr>
            </w:pPr>
          </w:p>
        </w:tc>
        <w:tc>
          <w:tcPr>
            <w:tcW w:w="15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C3081">
            <w:pPr>
              <w:jc w:val="center"/>
              <w:rPr>
                <w:rFonts w:hint="eastAsia" w:ascii="宋体" w:hAnsi="宋体" w:eastAsia="宋体" w:cs="宋体"/>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5E2E5">
            <w:pPr>
              <w:jc w:val="center"/>
              <w:rPr>
                <w:rFonts w:hint="eastAsia" w:ascii="宋体" w:hAnsi="宋体" w:eastAsia="宋体" w:cs="宋体"/>
                <w:i w:val="0"/>
                <w:iCs w:val="0"/>
                <w:color w:val="auto"/>
                <w:sz w:val="18"/>
                <w:szCs w:val="18"/>
                <w:u w:val="none"/>
              </w:rPr>
            </w:pP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5ABD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④室内绿植花卉装饰，生长良好，定期更换；布置合理，不影响正常工作及安全</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86629">
            <w:pPr>
              <w:jc w:val="left"/>
              <w:rPr>
                <w:rFonts w:hint="eastAsia" w:ascii="宋体" w:hAnsi="宋体" w:eastAsia="宋体" w:cs="宋体"/>
                <w:i w:val="0"/>
                <w:iCs w:val="0"/>
                <w:color w:val="auto"/>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C9758">
            <w:pPr>
              <w:jc w:val="left"/>
              <w:rPr>
                <w:rFonts w:hint="eastAsia" w:ascii="宋体" w:hAnsi="宋体" w:eastAsia="宋体" w:cs="宋体"/>
                <w:i w:val="0"/>
                <w:iCs w:val="0"/>
                <w:color w:val="auto"/>
                <w:sz w:val="18"/>
                <w:szCs w:val="18"/>
                <w:u w:val="none"/>
              </w:rPr>
            </w:pPr>
          </w:p>
        </w:tc>
      </w:tr>
      <w:tr w14:paraId="3960D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72" w:type="dxa"/>
            <w:vMerge w:val="continue"/>
            <w:tcBorders>
              <w:left w:val="single" w:color="000000" w:sz="4" w:space="0"/>
              <w:right w:val="single" w:color="000000" w:sz="4" w:space="0"/>
            </w:tcBorders>
            <w:shd w:val="clear" w:color="auto" w:fill="auto"/>
            <w:vAlign w:val="center"/>
          </w:tcPr>
          <w:p w14:paraId="2BC1A056">
            <w:pPr>
              <w:jc w:val="center"/>
              <w:rPr>
                <w:rFonts w:hint="eastAsia" w:ascii="宋体" w:hAnsi="宋体" w:eastAsia="宋体" w:cs="宋体"/>
                <w:i w:val="0"/>
                <w:iCs w:val="0"/>
                <w:color w:val="auto"/>
                <w:sz w:val="18"/>
                <w:szCs w:val="18"/>
                <w:u w:val="none"/>
              </w:rPr>
            </w:pPr>
          </w:p>
        </w:tc>
        <w:tc>
          <w:tcPr>
            <w:tcW w:w="975" w:type="dxa"/>
            <w:vMerge w:val="restart"/>
            <w:tcBorders>
              <w:top w:val="single" w:color="000000" w:sz="4" w:space="0"/>
              <w:left w:val="single" w:color="000000" w:sz="4" w:space="0"/>
              <w:right w:val="single" w:color="000000" w:sz="4" w:space="0"/>
            </w:tcBorders>
            <w:shd w:val="clear" w:color="auto" w:fill="auto"/>
            <w:vAlign w:val="center"/>
          </w:tcPr>
          <w:p w14:paraId="1F09FF0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绿色节能管理（48分）</w:t>
            </w: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80974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能源监测</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1B54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F466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合理配备能源计量器具，定期检定能源计量器具（水、电、燃气等），符合现行国家标准GB17167的规定；建立能源监测，进行能耗统计汇总并进行分析</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009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查看现场</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9B04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有相关文件记录的，依据符合程度得0～20分，每发现一处不符合扣2分，扣完为止；无相关文件记录的，得0分</w:t>
            </w:r>
          </w:p>
        </w:tc>
      </w:tr>
      <w:tr w14:paraId="568EA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72" w:type="dxa"/>
            <w:vMerge w:val="continue"/>
            <w:tcBorders>
              <w:left w:val="single" w:color="000000" w:sz="4" w:space="0"/>
              <w:right w:val="single" w:color="000000" w:sz="4" w:space="0"/>
            </w:tcBorders>
            <w:shd w:val="clear" w:color="auto" w:fill="auto"/>
            <w:vAlign w:val="center"/>
          </w:tcPr>
          <w:p w14:paraId="5CAD3F43">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602584CA">
            <w:pPr>
              <w:jc w:val="center"/>
              <w:rPr>
                <w:rFonts w:hint="eastAsia" w:ascii="宋体" w:hAnsi="宋体" w:eastAsia="宋体" w:cs="宋体"/>
                <w:i w:val="0"/>
                <w:iCs w:val="0"/>
                <w:color w:val="auto"/>
                <w:sz w:val="18"/>
                <w:szCs w:val="18"/>
                <w:u w:val="none"/>
              </w:rPr>
            </w:pP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D4F2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节能降耗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F887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3E47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制定科学节能管理方案，落实节能减排措施，包括用电分区管理、采用节能照明装置、电梯智能管理、节能改造等</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AF17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查看现场实施情况</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AE04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依据现场措施实施情况，每一项得5分，最高20分</w:t>
            </w:r>
          </w:p>
        </w:tc>
      </w:tr>
      <w:tr w14:paraId="51C15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72" w:type="dxa"/>
            <w:vMerge w:val="continue"/>
            <w:tcBorders>
              <w:left w:val="single" w:color="000000" w:sz="4" w:space="0"/>
              <w:bottom w:val="single" w:color="000000" w:sz="4" w:space="0"/>
              <w:right w:val="single" w:color="000000" w:sz="4" w:space="0"/>
            </w:tcBorders>
            <w:shd w:val="clear" w:color="auto" w:fill="auto"/>
            <w:vAlign w:val="center"/>
          </w:tcPr>
          <w:p w14:paraId="5697714E">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bottom w:val="single" w:color="000000" w:sz="4" w:space="0"/>
              <w:right w:val="single" w:color="000000" w:sz="4" w:space="0"/>
            </w:tcBorders>
            <w:shd w:val="clear" w:color="auto" w:fill="auto"/>
            <w:vAlign w:val="center"/>
          </w:tcPr>
          <w:p w14:paraId="11596F97">
            <w:pPr>
              <w:jc w:val="center"/>
              <w:rPr>
                <w:rFonts w:hint="eastAsia" w:ascii="宋体" w:hAnsi="宋体" w:eastAsia="宋体" w:cs="宋体"/>
                <w:i w:val="0"/>
                <w:iCs w:val="0"/>
                <w:color w:val="auto"/>
                <w:sz w:val="18"/>
                <w:szCs w:val="18"/>
                <w:u w:val="none"/>
              </w:rPr>
            </w:pP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C8B7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环保宣传</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A85E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BAB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定期组织进行节能节水、减排降耗、垃圾分类和污染防治等的宣传活动</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A3A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查验资料</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F098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有相关文件，依据完整程度得0～8分；无相关文件的，0分</w:t>
            </w:r>
          </w:p>
        </w:tc>
      </w:tr>
      <w:tr w14:paraId="77F18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72" w:type="dxa"/>
            <w:vMerge w:val="restart"/>
            <w:tcBorders>
              <w:top w:val="single" w:color="000000" w:sz="4" w:space="0"/>
              <w:left w:val="single" w:color="000000" w:sz="4" w:space="0"/>
              <w:right w:val="single" w:color="000000" w:sz="4" w:space="0"/>
            </w:tcBorders>
            <w:shd w:val="clear" w:color="auto" w:fill="auto"/>
            <w:vAlign w:val="center"/>
          </w:tcPr>
          <w:p w14:paraId="3D06570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服务过程（600分，不含延伸服务10分）</w:t>
            </w:r>
          </w:p>
          <w:p w14:paraId="7D2810E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p>
        </w:tc>
        <w:tc>
          <w:tcPr>
            <w:tcW w:w="975" w:type="dxa"/>
            <w:vMerge w:val="restart"/>
            <w:tcBorders>
              <w:top w:val="single" w:color="000000" w:sz="4" w:space="0"/>
              <w:left w:val="single" w:color="000000" w:sz="4" w:space="0"/>
              <w:right w:val="single" w:color="000000" w:sz="4" w:space="0"/>
            </w:tcBorders>
            <w:shd w:val="clear" w:color="auto" w:fill="auto"/>
            <w:vAlign w:val="center"/>
          </w:tcPr>
          <w:p w14:paraId="39B28BA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延伸服务（加分项10分）</w:t>
            </w:r>
          </w:p>
        </w:tc>
        <w:tc>
          <w:tcPr>
            <w:tcW w:w="15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CFEEC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会务服务</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3C924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4EDFB">
            <w:pPr>
              <w:keepNext w:val="0"/>
              <w:keepLines w:val="0"/>
              <w:widowControl/>
              <w:suppressLineNumbers w:val="0"/>
              <w:jc w:val="left"/>
              <w:textAlignment w:val="center"/>
              <w:rPr>
                <w:rFonts w:hint="default" w:ascii="Calibri" w:hAnsi="Calibri" w:eastAsia="宋体" w:cs="Calibri"/>
                <w:i w:val="0"/>
                <w:iCs w:val="0"/>
                <w:color w:val="auto"/>
                <w:sz w:val="18"/>
                <w:szCs w:val="18"/>
                <w:u w:val="none"/>
              </w:rPr>
            </w:pPr>
            <w:r>
              <w:rPr>
                <w:rFonts w:hint="default" w:ascii="Calibri" w:hAnsi="Calibri" w:eastAsia="宋体" w:cs="Calibri"/>
                <w:i w:val="0"/>
                <w:iCs w:val="0"/>
                <w:color w:val="auto"/>
                <w:kern w:val="0"/>
                <w:sz w:val="18"/>
                <w:szCs w:val="18"/>
                <w:u w:val="none"/>
                <w:lang w:val="en-US" w:eastAsia="zh-CN" w:bidi="ar"/>
              </w:rPr>
              <w:t>①</w:t>
            </w:r>
            <w:r>
              <w:rPr>
                <w:rFonts w:hint="eastAsia" w:ascii="宋体" w:hAnsi="宋体" w:eastAsia="宋体" w:cs="宋体"/>
                <w:i w:val="0"/>
                <w:iCs w:val="0"/>
                <w:color w:val="auto"/>
                <w:kern w:val="0"/>
                <w:sz w:val="18"/>
                <w:szCs w:val="18"/>
                <w:u w:val="none"/>
                <w:lang w:val="en-US" w:eastAsia="zh-CN" w:bidi="ar"/>
              </w:rPr>
              <w:t>根据客户需求，提供多样、细致、专业的会议服务</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9F22D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查验文件、现场体验</w:t>
            </w:r>
          </w:p>
        </w:tc>
        <w:tc>
          <w:tcPr>
            <w:tcW w:w="33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3D4A5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依据会务服务提供情况，依据符合程度得0～3分</w:t>
            </w:r>
          </w:p>
        </w:tc>
      </w:tr>
      <w:tr w14:paraId="2BEB3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72" w:type="dxa"/>
            <w:vMerge w:val="continue"/>
            <w:tcBorders>
              <w:left w:val="single" w:color="000000" w:sz="4" w:space="0"/>
              <w:right w:val="single" w:color="000000" w:sz="4" w:space="0"/>
            </w:tcBorders>
            <w:shd w:val="clear" w:color="auto" w:fill="auto"/>
            <w:vAlign w:val="center"/>
          </w:tcPr>
          <w:p w14:paraId="64610A6E">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1C6A803D">
            <w:pPr>
              <w:jc w:val="center"/>
              <w:rPr>
                <w:rFonts w:hint="eastAsia" w:ascii="宋体" w:hAnsi="宋体" w:eastAsia="宋体" w:cs="宋体"/>
                <w:i w:val="0"/>
                <w:iCs w:val="0"/>
                <w:color w:val="auto"/>
                <w:sz w:val="18"/>
                <w:szCs w:val="18"/>
                <w:u w:val="none"/>
              </w:rPr>
            </w:pPr>
          </w:p>
        </w:tc>
        <w:tc>
          <w:tcPr>
            <w:tcW w:w="15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1FDF2">
            <w:pPr>
              <w:jc w:val="center"/>
              <w:rPr>
                <w:rFonts w:hint="eastAsia" w:ascii="宋体" w:hAnsi="宋体" w:eastAsia="宋体" w:cs="宋体"/>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3167B">
            <w:pPr>
              <w:jc w:val="center"/>
              <w:rPr>
                <w:rFonts w:hint="eastAsia" w:ascii="宋体" w:hAnsi="宋体" w:eastAsia="宋体" w:cs="宋体"/>
                <w:i w:val="0"/>
                <w:iCs w:val="0"/>
                <w:color w:val="auto"/>
                <w:sz w:val="18"/>
                <w:szCs w:val="18"/>
                <w:u w:val="none"/>
              </w:rPr>
            </w:pP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B4BAA">
            <w:pPr>
              <w:keepNext w:val="0"/>
              <w:keepLines w:val="0"/>
              <w:widowControl/>
              <w:suppressLineNumbers w:val="0"/>
              <w:jc w:val="left"/>
              <w:textAlignment w:val="center"/>
              <w:rPr>
                <w:rFonts w:hint="default" w:ascii="Calibri" w:hAnsi="Calibri" w:eastAsia="宋体" w:cs="Calibri"/>
                <w:i w:val="0"/>
                <w:iCs w:val="0"/>
                <w:color w:val="auto"/>
                <w:sz w:val="18"/>
                <w:szCs w:val="18"/>
                <w:u w:val="none"/>
              </w:rPr>
            </w:pPr>
            <w:r>
              <w:rPr>
                <w:rFonts w:hint="default" w:ascii="Calibri" w:hAnsi="Calibri" w:eastAsia="宋体" w:cs="Calibri"/>
                <w:i w:val="0"/>
                <w:iCs w:val="0"/>
                <w:color w:val="auto"/>
                <w:kern w:val="0"/>
                <w:sz w:val="18"/>
                <w:szCs w:val="18"/>
                <w:u w:val="none"/>
                <w:lang w:val="en-US" w:eastAsia="zh-CN" w:bidi="ar"/>
              </w:rPr>
              <w:t>②</w:t>
            </w:r>
            <w:r>
              <w:rPr>
                <w:rFonts w:hint="eastAsia" w:ascii="宋体" w:hAnsi="宋体" w:eastAsia="宋体" w:cs="宋体"/>
                <w:i w:val="0"/>
                <w:iCs w:val="0"/>
                <w:color w:val="auto"/>
                <w:kern w:val="0"/>
                <w:sz w:val="18"/>
                <w:szCs w:val="18"/>
                <w:u w:val="none"/>
                <w:lang w:val="en-US" w:eastAsia="zh-CN" w:bidi="ar"/>
              </w:rPr>
              <w:t>制定不同等级的会议服务方案及相关应急预案，确保客户的会议体验</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B96F1">
            <w:pPr>
              <w:jc w:val="left"/>
              <w:rPr>
                <w:rFonts w:hint="eastAsia" w:ascii="宋体" w:hAnsi="宋体" w:eastAsia="宋体" w:cs="宋体"/>
                <w:i w:val="0"/>
                <w:iCs w:val="0"/>
                <w:color w:val="auto"/>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2803E">
            <w:pPr>
              <w:jc w:val="left"/>
              <w:rPr>
                <w:rFonts w:hint="eastAsia" w:ascii="宋体" w:hAnsi="宋体" w:eastAsia="宋体" w:cs="宋体"/>
                <w:i w:val="0"/>
                <w:iCs w:val="0"/>
                <w:color w:val="auto"/>
                <w:sz w:val="18"/>
                <w:szCs w:val="18"/>
                <w:u w:val="none"/>
              </w:rPr>
            </w:pPr>
          </w:p>
        </w:tc>
      </w:tr>
      <w:tr w14:paraId="77AFB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72" w:type="dxa"/>
            <w:vMerge w:val="continue"/>
            <w:tcBorders>
              <w:left w:val="single" w:color="000000" w:sz="4" w:space="0"/>
              <w:right w:val="single" w:color="000000" w:sz="4" w:space="0"/>
            </w:tcBorders>
            <w:shd w:val="clear" w:color="auto" w:fill="auto"/>
            <w:vAlign w:val="center"/>
          </w:tcPr>
          <w:p w14:paraId="4E57F92C">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7685D19A">
            <w:pPr>
              <w:jc w:val="center"/>
              <w:rPr>
                <w:rFonts w:hint="eastAsia" w:ascii="宋体" w:hAnsi="宋体" w:eastAsia="宋体" w:cs="宋体"/>
                <w:i w:val="0"/>
                <w:iCs w:val="0"/>
                <w:color w:val="auto"/>
                <w:sz w:val="18"/>
                <w:szCs w:val="18"/>
                <w:u w:val="none"/>
              </w:rPr>
            </w:pPr>
          </w:p>
        </w:tc>
        <w:tc>
          <w:tcPr>
            <w:tcW w:w="15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53E0A">
            <w:pPr>
              <w:jc w:val="center"/>
              <w:rPr>
                <w:rFonts w:hint="eastAsia" w:ascii="宋体" w:hAnsi="宋体" w:eastAsia="宋体" w:cs="宋体"/>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3D10A">
            <w:pPr>
              <w:jc w:val="center"/>
              <w:rPr>
                <w:rFonts w:hint="eastAsia" w:ascii="宋体" w:hAnsi="宋体" w:eastAsia="宋体" w:cs="宋体"/>
                <w:i w:val="0"/>
                <w:iCs w:val="0"/>
                <w:color w:val="auto"/>
                <w:sz w:val="18"/>
                <w:szCs w:val="18"/>
                <w:u w:val="none"/>
              </w:rPr>
            </w:pP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AA9F1">
            <w:pPr>
              <w:keepNext w:val="0"/>
              <w:keepLines w:val="0"/>
              <w:widowControl/>
              <w:suppressLineNumbers w:val="0"/>
              <w:jc w:val="left"/>
              <w:textAlignment w:val="center"/>
              <w:rPr>
                <w:rFonts w:hint="default" w:ascii="Calibri" w:hAnsi="Calibri" w:eastAsia="宋体" w:cs="Calibri"/>
                <w:i w:val="0"/>
                <w:iCs w:val="0"/>
                <w:color w:val="auto"/>
                <w:sz w:val="18"/>
                <w:szCs w:val="18"/>
                <w:u w:val="none"/>
              </w:rPr>
            </w:pPr>
            <w:r>
              <w:rPr>
                <w:rFonts w:hint="default" w:ascii="Calibri" w:hAnsi="Calibri" w:eastAsia="宋体" w:cs="Calibri"/>
                <w:i w:val="0"/>
                <w:iCs w:val="0"/>
                <w:color w:val="auto"/>
                <w:kern w:val="0"/>
                <w:sz w:val="18"/>
                <w:szCs w:val="18"/>
                <w:u w:val="none"/>
                <w:lang w:val="en-US" w:eastAsia="zh-CN" w:bidi="ar"/>
              </w:rPr>
              <w:t>③</w:t>
            </w:r>
            <w:r>
              <w:rPr>
                <w:rFonts w:hint="eastAsia" w:ascii="宋体" w:hAnsi="宋体" w:eastAsia="宋体" w:cs="宋体"/>
                <w:i w:val="0"/>
                <w:iCs w:val="0"/>
                <w:color w:val="auto"/>
                <w:kern w:val="0"/>
                <w:sz w:val="18"/>
                <w:szCs w:val="18"/>
                <w:u w:val="none"/>
                <w:lang w:val="en-US" w:eastAsia="zh-CN" w:bidi="ar"/>
              </w:rPr>
              <w:t>对会议信息进行保密，并保证会议服务过程中参会人员的人身财产安全</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D51C7">
            <w:pPr>
              <w:jc w:val="left"/>
              <w:rPr>
                <w:rFonts w:hint="eastAsia" w:ascii="宋体" w:hAnsi="宋体" w:eastAsia="宋体" w:cs="宋体"/>
                <w:i w:val="0"/>
                <w:iCs w:val="0"/>
                <w:color w:val="auto"/>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AA2CC">
            <w:pPr>
              <w:jc w:val="left"/>
              <w:rPr>
                <w:rFonts w:hint="eastAsia" w:ascii="宋体" w:hAnsi="宋体" w:eastAsia="宋体" w:cs="宋体"/>
                <w:i w:val="0"/>
                <w:iCs w:val="0"/>
                <w:color w:val="auto"/>
                <w:sz w:val="18"/>
                <w:szCs w:val="18"/>
                <w:u w:val="none"/>
              </w:rPr>
            </w:pPr>
          </w:p>
        </w:tc>
      </w:tr>
      <w:tr w14:paraId="674B1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72" w:type="dxa"/>
            <w:vMerge w:val="continue"/>
            <w:tcBorders>
              <w:left w:val="single" w:color="000000" w:sz="4" w:space="0"/>
              <w:right w:val="single" w:color="000000" w:sz="4" w:space="0"/>
            </w:tcBorders>
            <w:shd w:val="clear" w:color="auto" w:fill="auto"/>
            <w:vAlign w:val="center"/>
          </w:tcPr>
          <w:p w14:paraId="086EA56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64E1582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p>
        </w:tc>
        <w:tc>
          <w:tcPr>
            <w:tcW w:w="15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457E5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短驳车服务</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CC29E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55068">
            <w:pPr>
              <w:keepNext w:val="0"/>
              <w:keepLines w:val="0"/>
              <w:widowControl/>
              <w:suppressLineNumbers w:val="0"/>
              <w:jc w:val="left"/>
              <w:textAlignment w:val="center"/>
              <w:rPr>
                <w:rFonts w:hint="default" w:ascii="Calibri" w:hAnsi="Calibri" w:eastAsia="宋体" w:cs="Calibri"/>
                <w:i w:val="0"/>
                <w:iCs w:val="0"/>
                <w:color w:val="auto"/>
                <w:sz w:val="18"/>
                <w:szCs w:val="18"/>
                <w:u w:val="none"/>
              </w:rPr>
            </w:pPr>
            <w:r>
              <w:rPr>
                <w:rFonts w:hint="default" w:ascii="Calibri" w:hAnsi="Calibri" w:eastAsia="宋体" w:cs="Calibri"/>
                <w:i w:val="0"/>
                <w:iCs w:val="0"/>
                <w:color w:val="auto"/>
                <w:kern w:val="0"/>
                <w:sz w:val="18"/>
                <w:szCs w:val="18"/>
                <w:u w:val="none"/>
                <w:lang w:val="en-US" w:eastAsia="zh-CN" w:bidi="ar"/>
              </w:rPr>
              <w:t>①</w:t>
            </w:r>
            <w:r>
              <w:rPr>
                <w:rFonts w:hint="eastAsia" w:ascii="宋体" w:hAnsi="宋体" w:eastAsia="宋体" w:cs="宋体"/>
                <w:i w:val="0"/>
                <w:iCs w:val="0"/>
                <w:color w:val="auto"/>
                <w:kern w:val="0"/>
                <w:sz w:val="18"/>
                <w:szCs w:val="18"/>
                <w:u w:val="none"/>
                <w:lang w:val="en-US" w:eastAsia="zh-CN" w:bidi="ar"/>
              </w:rPr>
              <w:t>产业园区管理方、客户需求及产业园区实际情况，制定短驳车服务方案，并落实执行</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63E5C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查验文件、现场体验</w:t>
            </w:r>
          </w:p>
        </w:tc>
        <w:tc>
          <w:tcPr>
            <w:tcW w:w="33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AD882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依据短驳车服务提供情况，依据符合程度得0～2分</w:t>
            </w:r>
          </w:p>
        </w:tc>
      </w:tr>
      <w:tr w14:paraId="2A51C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72" w:type="dxa"/>
            <w:vMerge w:val="continue"/>
            <w:tcBorders>
              <w:left w:val="single" w:color="000000" w:sz="4" w:space="0"/>
              <w:right w:val="single" w:color="000000" w:sz="4" w:space="0"/>
            </w:tcBorders>
            <w:shd w:val="clear" w:color="auto" w:fill="auto"/>
            <w:vAlign w:val="center"/>
          </w:tcPr>
          <w:p w14:paraId="1E8ECF4C">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05F0DA66">
            <w:pPr>
              <w:jc w:val="center"/>
              <w:rPr>
                <w:rFonts w:hint="eastAsia" w:ascii="宋体" w:hAnsi="宋体" w:eastAsia="宋体" w:cs="宋体"/>
                <w:i w:val="0"/>
                <w:iCs w:val="0"/>
                <w:color w:val="auto"/>
                <w:sz w:val="18"/>
                <w:szCs w:val="18"/>
                <w:u w:val="none"/>
              </w:rPr>
            </w:pPr>
          </w:p>
        </w:tc>
        <w:tc>
          <w:tcPr>
            <w:tcW w:w="15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6A38D">
            <w:pPr>
              <w:jc w:val="center"/>
              <w:rPr>
                <w:rFonts w:hint="eastAsia" w:ascii="宋体" w:hAnsi="宋体" w:eastAsia="宋体" w:cs="宋体"/>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6A329">
            <w:pPr>
              <w:jc w:val="center"/>
              <w:rPr>
                <w:rFonts w:hint="eastAsia" w:ascii="宋体" w:hAnsi="宋体" w:eastAsia="宋体" w:cs="宋体"/>
                <w:i w:val="0"/>
                <w:iCs w:val="0"/>
                <w:color w:val="auto"/>
                <w:sz w:val="18"/>
                <w:szCs w:val="18"/>
                <w:u w:val="none"/>
              </w:rPr>
            </w:pP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4398C">
            <w:pPr>
              <w:keepNext w:val="0"/>
              <w:keepLines w:val="0"/>
              <w:widowControl/>
              <w:suppressLineNumbers w:val="0"/>
              <w:jc w:val="left"/>
              <w:textAlignment w:val="center"/>
              <w:rPr>
                <w:rFonts w:hint="default" w:ascii="Calibri" w:hAnsi="Calibri" w:eastAsia="宋体" w:cs="Calibri"/>
                <w:i w:val="0"/>
                <w:iCs w:val="0"/>
                <w:color w:val="auto"/>
                <w:sz w:val="18"/>
                <w:szCs w:val="18"/>
                <w:u w:val="none"/>
              </w:rPr>
            </w:pPr>
            <w:r>
              <w:rPr>
                <w:rFonts w:hint="default" w:ascii="Calibri" w:hAnsi="Calibri" w:eastAsia="宋体" w:cs="Calibri"/>
                <w:i w:val="0"/>
                <w:iCs w:val="0"/>
                <w:color w:val="auto"/>
                <w:kern w:val="0"/>
                <w:sz w:val="18"/>
                <w:szCs w:val="18"/>
                <w:u w:val="none"/>
                <w:lang w:val="en-US" w:eastAsia="zh-CN" w:bidi="ar"/>
              </w:rPr>
              <w:t>②</w:t>
            </w:r>
            <w:r>
              <w:rPr>
                <w:rFonts w:hint="eastAsia" w:ascii="宋体" w:hAnsi="宋体" w:eastAsia="宋体" w:cs="宋体"/>
                <w:i w:val="0"/>
                <w:iCs w:val="0"/>
                <w:color w:val="auto"/>
                <w:kern w:val="0"/>
                <w:sz w:val="18"/>
                <w:szCs w:val="18"/>
                <w:u w:val="none"/>
                <w:lang w:val="en-US" w:eastAsia="zh-CN" w:bidi="ar"/>
              </w:rPr>
              <w:t>应掌握车辆使用说明书、车辆车况，定期检验检测车辆，取得检验合格证</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E9210">
            <w:pPr>
              <w:jc w:val="left"/>
              <w:rPr>
                <w:rFonts w:hint="eastAsia" w:ascii="宋体" w:hAnsi="宋体" w:eastAsia="宋体" w:cs="宋体"/>
                <w:i w:val="0"/>
                <w:iCs w:val="0"/>
                <w:color w:val="auto"/>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13194">
            <w:pPr>
              <w:jc w:val="left"/>
              <w:rPr>
                <w:rFonts w:hint="eastAsia" w:ascii="宋体" w:hAnsi="宋体" w:eastAsia="宋体" w:cs="宋体"/>
                <w:i w:val="0"/>
                <w:iCs w:val="0"/>
                <w:color w:val="auto"/>
                <w:sz w:val="18"/>
                <w:szCs w:val="18"/>
                <w:u w:val="none"/>
              </w:rPr>
            </w:pPr>
          </w:p>
        </w:tc>
      </w:tr>
      <w:tr w14:paraId="039E0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72" w:type="dxa"/>
            <w:vMerge w:val="continue"/>
            <w:tcBorders>
              <w:left w:val="single" w:color="000000" w:sz="4" w:space="0"/>
              <w:right w:val="single" w:color="000000" w:sz="4" w:space="0"/>
            </w:tcBorders>
            <w:shd w:val="clear" w:color="auto" w:fill="auto"/>
            <w:vAlign w:val="center"/>
          </w:tcPr>
          <w:p w14:paraId="7A51EB96">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63E123A1">
            <w:pPr>
              <w:jc w:val="center"/>
              <w:rPr>
                <w:rFonts w:hint="eastAsia" w:ascii="宋体" w:hAnsi="宋体" w:eastAsia="宋体" w:cs="宋体"/>
                <w:i w:val="0"/>
                <w:iCs w:val="0"/>
                <w:color w:val="auto"/>
                <w:sz w:val="18"/>
                <w:szCs w:val="18"/>
                <w:u w:val="none"/>
              </w:rPr>
            </w:pPr>
          </w:p>
        </w:tc>
        <w:tc>
          <w:tcPr>
            <w:tcW w:w="15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1D294">
            <w:pPr>
              <w:jc w:val="center"/>
              <w:rPr>
                <w:rFonts w:hint="eastAsia" w:ascii="宋体" w:hAnsi="宋体" w:eastAsia="宋体" w:cs="宋体"/>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5F748">
            <w:pPr>
              <w:jc w:val="center"/>
              <w:rPr>
                <w:rFonts w:hint="eastAsia" w:ascii="宋体" w:hAnsi="宋体" w:eastAsia="宋体" w:cs="宋体"/>
                <w:i w:val="0"/>
                <w:iCs w:val="0"/>
                <w:color w:val="auto"/>
                <w:sz w:val="18"/>
                <w:szCs w:val="18"/>
                <w:u w:val="none"/>
              </w:rPr>
            </w:pP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1FDF">
            <w:pPr>
              <w:keepNext w:val="0"/>
              <w:keepLines w:val="0"/>
              <w:widowControl/>
              <w:suppressLineNumbers w:val="0"/>
              <w:jc w:val="left"/>
              <w:textAlignment w:val="center"/>
              <w:rPr>
                <w:rFonts w:hint="default" w:ascii="Calibri" w:hAnsi="Calibri" w:eastAsia="宋体" w:cs="Calibri"/>
                <w:i w:val="0"/>
                <w:iCs w:val="0"/>
                <w:color w:val="auto"/>
                <w:sz w:val="18"/>
                <w:szCs w:val="18"/>
                <w:u w:val="none"/>
              </w:rPr>
            </w:pPr>
            <w:r>
              <w:rPr>
                <w:rFonts w:hint="default" w:ascii="Calibri" w:hAnsi="Calibri" w:eastAsia="宋体" w:cs="Calibri"/>
                <w:i w:val="0"/>
                <w:iCs w:val="0"/>
                <w:color w:val="auto"/>
                <w:kern w:val="0"/>
                <w:sz w:val="18"/>
                <w:szCs w:val="18"/>
                <w:u w:val="none"/>
                <w:lang w:val="en-US" w:eastAsia="zh-CN" w:bidi="ar"/>
              </w:rPr>
              <w:t>③</w:t>
            </w:r>
            <w:r>
              <w:rPr>
                <w:rFonts w:hint="eastAsia" w:ascii="宋体" w:hAnsi="宋体" w:eastAsia="宋体" w:cs="宋体"/>
                <w:i w:val="0"/>
                <w:iCs w:val="0"/>
                <w:color w:val="auto"/>
                <w:kern w:val="0"/>
                <w:sz w:val="18"/>
                <w:szCs w:val="18"/>
                <w:u w:val="none"/>
                <w:lang w:val="en-US" w:eastAsia="zh-CN" w:bidi="ar"/>
              </w:rPr>
              <w:t>每日运行前，应对车辆进行安全技术性能检查，保持车辆内外干净卫生及消毒杀菌</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6F5C0">
            <w:pPr>
              <w:jc w:val="left"/>
              <w:rPr>
                <w:rFonts w:hint="eastAsia" w:ascii="宋体" w:hAnsi="宋体" w:eastAsia="宋体" w:cs="宋体"/>
                <w:i w:val="0"/>
                <w:iCs w:val="0"/>
                <w:color w:val="auto"/>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BF5AE">
            <w:pPr>
              <w:jc w:val="left"/>
              <w:rPr>
                <w:rFonts w:hint="eastAsia" w:ascii="宋体" w:hAnsi="宋体" w:eastAsia="宋体" w:cs="宋体"/>
                <w:i w:val="0"/>
                <w:iCs w:val="0"/>
                <w:color w:val="auto"/>
                <w:sz w:val="18"/>
                <w:szCs w:val="18"/>
                <w:u w:val="none"/>
              </w:rPr>
            </w:pPr>
          </w:p>
        </w:tc>
      </w:tr>
      <w:tr w14:paraId="3F1C6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72" w:type="dxa"/>
            <w:vMerge w:val="continue"/>
            <w:tcBorders>
              <w:left w:val="single" w:color="000000" w:sz="4" w:space="0"/>
              <w:right w:val="single" w:color="000000" w:sz="4" w:space="0"/>
            </w:tcBorders>
            <w:shd w:val="clear" w:color="auto" w:fill="auto"/>
            <w:vAlign w:val="center"/>
          </w:tcPr>
          <w:p w14:paraId="0BCED338">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1F605BD0">
            <w:pPr>
              <w:jc w:val="center"/>
              <w:rPr>
                <w:rFonts w:hint="eastAsia" w:ascii="宋体" w:hAnsi="宋体" w:eastAsia="宋体" w:cs="宋体"/>
                <w:i w:val="0"/>
                <w:iCs w:val="0"/>
                <w:color w:val="auto"/>
                <w:sz w:val="18"/>
                <w:szCs w:val="18"/>
                <w:u w:val="none"/>
              </w:rPr>
            </w:pPr>
          </w:p>
        </w:tc>
        <w:tc>
          <w:tcPr>
            <w:tcW w:w="15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AC733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餐饮服务</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30ED8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D247E">
            <w:pPr>
              <w:keepNext w:val="0"/>
              <w:keepLines w:val="0"/>
              <w:widowControl/>
              <w:suppressLineNumbers w:val="0"/>
              <w:jc w:val="left"/>
              <w:textAlignment w:val="center"/>
              <w:rPr>
                <w:rFonts w:hint="default" w:ascii="Calibri" w:hAnsi="Calibri" w:eastAsia="宋体" w:cs="Calibri"/>
                <w:i w:val="0"/>
                <w:iCs w:val="0"/>
                <w:color w:val="auto"/>
                <w:sz w:val="18"/>
                <w:szCs w:val="18"/>
                <w:u w:val="none"/>
              </w:rPr>
            </w:pPr>
            <w:r>
              <w:rPr>
                <w:rFonts w:hint="default" w:ascii="Calibri" w:hAnsi="Calibri" w:eastAsia="宋体" w:cs="Calibri"/>
                <w:i w:val="0"/>
                <w:iCs w:val="0"/>
                <w:color w:val="auto"/>
                <w:kern w:val="0"/>
                <w:sz w:val="18"/>
                <w:szCs w:val="18"/>
                <w:u w:val="none"/>
                <w:lang w:val="en-US" w:eastAsia="zh-CN" w:bidi="ar"/>
              </w:rPr>
              <w:t>①</w:t>
            </w:r>
            <w:r>
              <w:rPr>
                <w:rFonts w:hint="eastAsia" w:ascii="宋体" w:hAnsi="宋体" w:eastAsia="宋体" w:cs="宋体"/>
                <w:i w:val="0"/>
                <w:iCs w:val="0"/>
                <w:color w:val="auto"/>
                <w:kern w:val="0"/>
                <w:sz w:val="18"/>
                <w:szCs w:val="18"/>
                <w:u w:val="none"/>
                <w:lang w:val="en-US" w:eastAsia="zh-CN" w:bidi="ar"/>
              </w:rPr>
              <w:t>餐饮服务应建立并执行食品从业人员健康管理制度</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A4471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查验文件、现场体验</w:t>
            </w:r>
          </w:p>
        </w:tc>
        <w:tc>
          <w:tcPr>
            <w:tcW w:w="33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6740A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依据餐饮服务提供情况，依据符合程度得0～2分</w:t>
            </w:r>
          </w:p>
        </w:tc>
      </w:tr>
      <w:tr w14:paraId="3A125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972" w:type="dxa"/>
            <w:vMerge w:val="continue"/>
            <w:tcBorders>
              <w:left w:val="single" w:color="000000" w:sz="4" w:space="0"/>
              <w:right w:val="single" w:color="000000" w:sz="4" w:space="0"/>
            </w:tcBorders>
            <w:shd w:val="clear" w:color="auto" w:fill="auto"/>
            <w:vAlign w:val="center"/>
          </w:tcPr>
          <w:p w14:paraId="4D3C35DB">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3508BC0E">
            <w:pPr>
              <w:jc w:val="center"/>
              <w:rPr>
                <w:rFonts w:hint="eastAsia" w:ascii="宋体" w:hAnsi="宋体" w:eastAsia="宋体" w:cs="宋体"/>
                <w:i w:val="0"/>
                <w:iCs w:val="0"/>
                <w:color w:val="auto"/>
                <w:sz w:val="18"/>
                <w:szCs w:val="18"/>
                <w:u w:val="none"/>
              </w:rPr>
            </w:pPr>
          </w:p>
        </w:tc>
        <w:tc>
          <w:tcPr>
            <w:tcW w:w="15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D6C45">
            <w:pPr>
              <w:jc w:val="center"/>
              <w:rPr>
                <w:rFonts w:hint="eastAsia" w:ascii="宋体" w:hAnsi="宋体" w:eastAsia="宋体" w:cs="宋体"/>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15D17">
            <w:pPr>
              <w:jc w:val="center"/>
              <w:rPr>
                <w:rFonts w:hint="eastAsia" w:ascii="宋体" w:hAnsi="宋体" w:eastAsia="宋体" w:cs="宋体"/>
                <w:i w:val="0"/>
                <w:iCs w:val="0"/>
                <w:color w:val="auto"/>
                <w:sz w:val="18"/>
                <w:szCs w:val="18"/>
                <w:u w:val="none"/>
              </w:rPr>
            </w:pP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5B016">
            <w:pPr>
              <w:keepNext w:val="0"/>
              <w:keepLines w:val="0"/>
              <w:widowControl/>
              <w:suppressLineNumbers w:val="0"/>
              <w:jc w:val="left"/>
              <w:textAlignment w:val="center"/>
              <w:rPr>
                <w:rFonts w:hint="default" w:ascii="Calibri" w:hAnsi="Calibri" w:eastAsia="宋体" w:cs="Calibri"/>
                <w:i w:val="0"/>
                <w:iCs w:val="0"/>
                <w:color w:val="auto"/>
                <w:sz w:val="18"/>
                <w:szCs w:val="18"/>
                <w:u w:val="none"/>
              </w:rPr>
            </w:pPr>
            <w:r>
              <w:rPr>
                <w:rFonts w:hint="default" w:ascii="Calibri" w:hAnsi="Calibri" w:eastAsia="宋体" w:cs="Calibri"/>
                <w:i w:val="0"/>
                <w:iCs w:val="0"/>
                <w:color w:val="auto"/>
                <w:kern w:val="0"/>
                <w:sz w:val="18"/>
                <w:szCs w:val="18"/>
                <w:u w:val="none"/>
                <w:lang w:val="en-US" w:eastAsia="zh-CN" w:bidi="ar"/>
              </w:rPr>
              <w:t>②</w:t>
            </w:r>
            <w:r>
              <w:rPr>
                <w:rFonts w:hint="eastAsia" w:ascii="宋体" w:hAnsi="宋体" w:eastAsia="宋体" w:cs="宋体"/>
                <w:i w:val="0"/>
                <w:iCs w:val="0"/>
                <w:color w:val="auto"/>
                <w:kern w:val="0"/>
                <w:sz w:val="18"/>
                <w:szCs w:val="18"/>
                <w:u w:val="none"/>
                <w:lang w:val="en-US" w:eastAsia="zh-CN" w:bidi="ar"/>
              </w:rPr>
              <w:t>餐饮服务的设施设备配置、原料采购、餐具清洗消毒、食品加工与制作、食品检验应符合</w:t>
            </w:r>
            <w:r>
              <w:rPr>
                <w:rFonts w:hint="default" w:ascii="Calibri" w:hAnsi="Calibri" w:eastAsia="宋体" w:cs="Calibri"/>
                <w:i w:val="0"/>
                <w:iCs w:val="0"/>
                <w:color w:val="auto"/>
                <w:kern w:val="0"/>
                <w:sz w:val="18"/>
                <w:szCs w:val="18"/>
                <w:u w:val="none"/>
                <w:lang w:val="en-US" w:eastAsia="zh-CN" w:bidi="ar"/>
              </w:rPr>
              <w:t>GB/T 27306</w:t>
            </w:r>
            <w:r>
              <w:rPr>
                <w:rFonts w:hint="eastAsia" w:ascii="宋体" w:hAnsi="宋体" w:eastAsia="宋体" w:cs="宋体"/>
                <w:i w:val="0"/>
                <w:iCs w:val="0"/>
                <w:color w:val="auto"/>
                <w:kern w:val="0"/>
                <w:sz w:val="18"/>
                <w:szCs w:val="18"/>
                <w:u w:val="none"/>
                <w:lang w:val="en-US" w:eastAsia="zh-CN" w:bidi="ar"/>
              </w:rPr>
              <w:t>的相关规定餐饮服务的餐厅、厨房的卫生管理应符合</w:t>
            </w:r>
            <w:r>
              <w:rPr>
                <w:rFonts w:hint="default" w:ascii="Calibri" w:hAnsi="Calibri" w:eastAsia="宋体" w:cs="Calibri"/>
                <w:i w:val="0"/>
                <w:iCs w:val="0"/>
                <w:color w:val="auto"/>
                <w:kern w:val="0"/>
                <w:sz w:val="18"/>
                <w:szCs w:val="18"/>
                <w:u w:val="none"/>
                <w:lang w:val="en-US" w:eastAsia="zh-CN" w:bidi="ar"/>
              </w:rPr>
              <w:t>GB 37487</w:t>
            </w:r>
            <w:r>
              <w:rPr>
                <w:rFonts w:hint="eastAsia" w:ascii="宋体" w:hAnsi="宋体" w:eastAsia="宋体" w:cs="宋体"/>
                <w:i w:val="0"/>
                <w:iCs w:val="0"/>
                <w:color w:val="auto"/>
                <w:kern w:val="0"/>
                <w:sz w:val="18"/>
                <w:szCs w:val="18"/>
                <w:u w:val="none"/>
                <w:lang w:val="en-US" w:eastAsia="zh-CN" w:bidi="ar"/>
              </w:rPr>
              <w:t>和</w:t>
            </w:r>
            <w:r>
              <w:rPr>
                <w:rFonts w:hint="default" w:ascii="Calibri" w:hAnsi="Calibri" w:eastAsia="宋体" w:cs="Calibri"/>
                <w:i w:val="0"/>
                <w:iCs w:val="0"/>
                <w:color w:val="auto"/>
                <w:kern w:val="0"/>
                <w:sz w:val="18"/>
                <w:szCs w:val="18"/>
                <w:u w:val="none"/>
                <w:lang w:val="en-US" w:eastAsia="zh-CN" w:bidi="ar"/>
              </w:rPr>
              <w:t>GB 37488</w:t>
            </w:r>
            <w:r>
              <w:rPr>
                <w:rFonts w:hint="eastAsia" w:ascii="宋体" w:hAnsi="宋体" w:eastAsia="宋体" w:cs="宋体"/>
                <w:i w:val="0"/>
                <w:iCs w:val="0"/>
                <w:color w:val="auto"/>
                <w:kern w:val="0"/>
                <w:sz w:val="18"/>
                <w:szCs w:val="18"/>
                <w:u w:val="none"/>
                <w:lang w:val="en-US" w:eastAsia="zh-CN" w:bidi="ar"/>
              </w:rPr>
              <w:t>的相关规定</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A23BC">
            <w:pPr>
              <w:jc w:val="left"/>
              <w:rPr>
                <w:rFonts w:hint="eastAsia" w:ascii="宋体" w:hAnsi="宋体" w:eastAsia="宋体" w:cs="宋体"/>
                <w:i w:val="0"/>
                <w:iCs w:val="0"/>
                <w:color w:val="auto"/>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ABEDC">
            <w:pPr>
              <w:jc w:val="left"/>
              <w:rPr>
                <w:rFonts w:hint="eastAsia" w:ascii="宋体" w:hAnsi="宋体" w:eastAsia="宋体" w:cs="宋体"/>
                <w:i w:val="0"/>
                <w:iCs w:val="0"/>
                <w:color w:val="auto"/>
                <w:sz w:val="18"/>
                <w:szCs w:val="18"/>
                <w:u w:val="none"/>
              </w:rPr>
            </w:pPr>
          </w:p>
        </w:tc>
      </w:tr>
      <w:tr w14:paraId="39172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72" w:type="dxa"/>
            <w:vMerge w:val="continue"/>
            <w:tcBorders>
              <w:left w:val="single" w:color="000000" w:sz="4" w:space="0"/>
              <w:right w:val="single" w:color="000000" w:sz="4" w:space="0"/>
            </w:tcBorders>
            <w:shd w:val="clear" w:color="auto" w:fill="auto"/>
            <w:vAlign w:val="center"/>
          </w:tcPr>
          <w:p w14:paraId="6D6DF3E7">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4A1D42F0">
            <w:pPr>
              <w:jc w:val="center"/>
              <w:rPr>
                <w:rFonts w:hint="eastAsia" w:ascii="宋体" w:hAnsi="宋体" w:eastAsia="宋体" w:cs="宋体"/>
                <w:i w:val="0"/>
                <w:iCs w:val="0"/>
                <w:color w:val="auto"/>
                <w:sz w:val="18"/>
                <w:szCs w:val="18"/>
                <w:u w:val="none"/>
              </w:rPr>
            </w:pPr>
          </w:p>
        </w:tc>
        <w:tc>
          <w:tcPr>
            <w:tcW w:w="15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A06CC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仓储配送服务</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23ED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C3869">
            <w:pPr>
              <w:keepNext w:val="0"/>
              <w:keepLines w:val="0"/>
              <w:widowControl/>
              <w:suppressLineNumbers w:val="0"/>
              <w:jc w:val="left"/>
              <w:textAlignment w:val="center"/>
              <w:rPr>
                <w:rFonts w:hint="default" w:ascii="Calibri" w:hAnsi="Calibri" w:eastAsia="宋体" w:cs="Calibri"/>
                <w:i w:val="0"/>
                <w:iCs w:val="0"/>
                <w:color w:val="auto"/>
                <w:sz w:val="18"/>
                <w:szCs w:val="18"/>
                <w:u w:val="none"/>
              </w:rPr>
            </w:pPr>
            <w:r>
              <w:rPr>
                <w:rFonts w:hint="default" w:ascii="Calibri" w:hAnsi="Calibri" w:eastAsia="宋体" w:cs="Calibri"/>
                <w:i w:val="0"/>
                <w:iCs w:val="0"/>
                <w:color w:val="auto"/>
                <w:kern w:val="0"/>
                <w:sz w:val="18"/>
                <w:szCs w:val="18"/>
                <w:u w:val="none"/>
                <w:lang w:val="en-US" w:eastAsia="zh-CN" w:bidi="ar"/>
              </w:rPr>
              <w:t>①</w:t>
            </w:r>
            <w:r>
              <w:rPr>
                <w:rFonts w:hint="eastAsia" w:ascii="宋体" w:hAnsi="宋体" w:eastAsia="宋体" w:cs="宋体"/>
                <w:i w:val="0"/>
                <w:iCs w:val="0"/>
                <w:color w:val="auto"/>
                <w:kern w:val="0"/>
                <w:sz w:val="18"/>
                <w:szCs w:val="18"/>
                <w:u w:val="none"/>
                <w:lang w:val="en-US" w:eastAsia="zh-CN" w:bidi="ar"/>
              </w:rPr>
              <w:t>根据不同类型仓库设施配置情况，宜为客户提供储存、货物转换、运输衔接等服务</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87F25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查验文件、现场查看</w:t>
            </w:r>
          </w:p>
        </w:tc>
        <w:tc>
          <w:tcPr>
            <w:tcW w:w="33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6FC44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依据仓储配送服务提供情况，依据符合程度得0～1分</w:t>
            </w:r>
          </w:p>
        </w:tc>
      </w:tr>
      <w:tr w14:paraId="32571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972" w:type="dxa"/>
            <w:vMerge w:val="continue"/>
            <w:tcBorders>
              <w:left w:val="single" w:color="000000" w:sz="4" w:space="0"/>
              <w:right w:val="single" w:color="000000" w:sz="4" w:space="0"/>
            </w:tcBorders>
            <w:shd w:val="clear" w:color="auto" w:fill="auto"/>
            <w:vAlign w:val="center"/>
          </w:tcPr>
          <w:p w14:paraId="1EE6A680">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5EF2CE95">
            <w:pPr>
              <w:jc w:val="center"/>
              <w:rPr>
                <w:rFonts w:hint="eastAsia" w:ascii="宋体" w:hAnsi="宋体" w:eastAsia="宋体" w:cs="宋体"/>
                <w:i w:val="0"/>
                <w:iCs w:val="0"/>
                <w:color w:val="auto"/>
                <w:sz w:val="18"/>
                <w:szCs w:val="18"/>
                <w:u w:val="none"/>
              </w:rPr>
            </w:pPr>
          </w:p>
        </w:tc>
        <w:tc>
          <w:tcPr>
            <w:tcW w:w="15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AB4A2">
            <w:pPr>
              <w:jc w:val="center"/>
              <w:rPr>
                <w:rFonts w:hint="eastAsia" w:ascii="宋体" w:hAnsi="宋体" w:eastAsia="宋体" w:cs="宋体"/>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41426">
            <w:pPr>
              <w:jc w:val="center"/>
              <w:rPr>
                <w:rFonts w:hint="eastAsia" w:ascii="宋体" w:hAnsi="宋体" w:eastAsia="宋体" w:cs="宋体"/>
                <w:i w:val="0"/>
                <w:iCs w:val="0"/>
                <w:color w:val="auto"/>
                <w:sz w:val="18"/>
                <w:szCs w:val="18"/>
                <w:u w:val="none"/>
              </w:rPr>
            </w:pP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BD9C6">
            <w:pPr>
              <w:keepNext w:val="0"/>
              <w:keepLines w:val="0"/>
              <w:widowControl/>
              <w:suppressLineNumbers w:val="0"/>
              <w:jc w:val="left"/>
              <w:textAlignment w:val="center"/>
              <w:rPr>
                <w:rFonts w:hint="default" w:ascii="Calibri" w:hAnsi="Calibri" w:eastAsia="宋体" w:cs="Calibri"/>
                <w:i w:val="0"/>
                <w:iCs w:val="0"/>
                <w:color w:val="auto"/>
                <w:sz w:val="18"/>
                <w:szCs w:val="18"/>
                <w:u w:val="none"/>
              </w:rPr>
            </w:pPr>
            <w:r>
              <w:rPr>
                <w:rFonts w:hint="default" w:ascii="Calibri" w:hAnsi="Calibri" w:eastAsia="宋体" w:cs="Calibri"/>
                <w:i w:val="0"/>
                <w:iCs w:val="0"/>
                <w:color w:val="auto"/>
                <w:kern w:val="0"/>
                <w:sz w:val="18"/>
                <w:szCs w:val="18"/>
                <w:u w:val="none"/>
                <w:lang w:val="en-US" w:eastAsia="zh-CN" w:bidi="ar"/>
              </w:rPr>
              <w:t>②</w:t>
            </w:r>
            <w:r>
              <w:rPr>
                <w:rFonts w:hint="eastAsia" w:ascii="宋体" w:hAnsi="宋体" w:eastAsia="宋体" w:cs="宋体"/>
                <w:i w:val="0"/>
                <w:iCs w:val="0"/>
                <w:color w:val="auto"/>
                <w:kern w:val="0"/>
                <w:sz w:val="18"/>
                <w:szCs w:val="18"/>
                <w:u w:val="none"/>
                <w:lang w:val="en-US" w:eastAsia="zh-CN" w:bidi="ar"/>
              </w:rPr>
              <w:t>低温仓储的入库作业、储存作业、出库作业、环境控制、安全控制及信息处理等应符合</w:t>
            </w:r>
            <w:r>
              <w:rPr>
                <w:rFonts w:hint="default" w:ascii="Calibri" w:hAnsi="Calibri" w:eastAsia="宋体" w:cs="Calibri"/>
                <w:i w:val="0"/>
                <w:iCs w:val="0"/>
                <w:color w:val="auto"/>
                <w:kern w:val="0"/>
                <w:sz w:val="18"/>
                <w:szCs w:val="18"/>
                <w:u w:val="none"/>
                <w:lang w:val="en-US" w:eastAsia="zh-CN" w:bidi="ar"/>
              </w:rPr>
              <w:t>GB/T 31078</w:t>
            </w:r>
            <w:r>
              <w:rPr>
                <w:rFonts w:hint="eastAsia" w:ascii="宋体" w:hAnsi="宋体" w:eastAsia="宋体" w:cs="宋体"/>
                <w:i w:val="0"/>
                <w:iCs w:val="0"/>
                <w:color w:val="auto"/>
                <w:kern w:val="0"/>
                <w:sz w:val="18"/>
                <w:szCs w:val="18"/>
                <w:u w:val="none"/>
                <w:lang w:val="en-US" w:eastAsia="zh-CN" w:bidi="ar"/>
              </w:rPr>
              <w:t>的有关规定危险化学品的贮存应符合</w:t>
            </w:r>
            <w:r>
              <w:rPr>
                <w:rFonts w:hint="default" w:ascii="Calibri" w:hAnsi="Calibri" w:eastAsia="宋体" w:cs="Calibri"/>
                <w:i w:val="0"/>
                <w:iCs w:val="0"/>
                <w:color w:val="auto"/>
                <w:kern w:val="0"/>
                <w:sz w:val="18"/>
                <w:szCs w:val="18"/>
                <w:u w:val="none"/>
                <w:lang w:val="en-US" w:eastAsia="zh-CN" w:bidi="ar"/>
              </w:rPr>
              <w:t>GB 15603</w:t>
            </w:r>
            <w:r>
              <w:rPr>
                <w:rFonts w:hint="eastAsia" w:ascii="宋体" w:hAnsi="宋体" w:eastAsia="宋体" w:cs="宋体"/>
                <w:i w:val="0"/>
                <w:iCs w:val="0"/>
                <w:color w:val="auto"/>
                <w:kern w:val="0"/>
                <w:sz w:val="18"/>
                <w:szCs w:val="18"/>
                <w:u w:val="none"/>
                <w:lang w:val="en-US" w:eastAsia="zh-CN" w:bidi="ar"/>
              </w:rPr>
              <w:t>和</w:t>
            </w:r>
            <w:r>
              <w:rPr>
                <w:rFonts w:hint="default" w:ascii="Calibri" w:hAnsi="Calibri" w:eastAsia="宋体" w:cs="Calibri"/>
                <w:i w:val="0"/>
                <w:iCs w:val="0"/>
                <w:color w:val="auto"/>
                <w:kern w:val="0"/>
                <w:sz w:val="18"/>
                <w:szCs w:val="18"/>
                <w:u w:val="none"/>
                <w:lang w:val="en-US" w:eastAsia="zh-CN" w:bidi="ar"/>
              </w:rPr>
              <w:t>GB 18265</w:t>
            </w:r>
            <w:r>
              <w:rPr>
                <w:rFonts w:hint="eastAsia" w:ascii="宋体" w:hAnsi="宋体" w:eastAsia="宋体" w:cs="宋体"/>
                <w:i w:val="0"/>
                <w:iCs w:val="0"/>
                <w:color w:val="auto"/>
                <w:kern w:val="0"/>
                <w:sz w:val="18"/>
                <w:szCs w:val="18"/>
                <w:u w:val="none"/>
                <w:lang w:val="en-US" w:eastAsia="zh-CN" w:bidi="ar"/>
              </w:rPr>
              <w:t>的有关规定</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22224">
            <w:pPr>
              <w:jc w:val="left"/>
              <w:rPr>
                <w:rFonts w:hint="eastAsia" w:ascii="宋体" w:hAnsi="宋体" w:eastAsia="宋体" w:cs="宋体"/>
                <w:i w:val="0"/>
                <w:iCs w:val="0"/>
                <w:color w:val="auto"/>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CBBFA">
            <w:pPr>
              <w:jc w:val="left"/>
              <w:rPr>
                <w:rFonts w:hint="eastAsia" w:ascii="宋体" w:hAnsi="宋体" w:eastAsia="宋体" w:cs="宋体"/>
                <w:i w:val="0"/>
                <w:iCs w:val="0"/>
                <w:color w:val="auto"/>
                <w:sz w:val="18"/>
                <w:szCs w:val="18"/>
                <w:u w:val="none"/>
              </w:rPr>
            </w:pPr>
          </w:p>
        </w:tc>
      </w:tr>
      <w:tr w14:paraId="704CA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72" w:type="dxa"/>
            <w:vMerge w:val="continue"/>
            <w:tcBorders>
              <w:left w:val="single" w:color="000000" w:sz="4" w:space="0"/>
              <w:bottom w:val="single" w:color="000000" w:sz="4" w:space="0"/>
              <w:right w:val="single" w:color="000000" w:sz="4" w:space="0"/>
            </w:tcBorders>
            <w:shd w:val="clear" w:color="auto" w:fill="auto"/>
            <w:vAlign w:val="center"/>
          </w:tcPr>
          <w:p w14:paraId="2CCB654C">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bottom w:val="single" w:color="000000" w:sz="4" w:space="0"/>
              <w:right w:val="single" w:color="000000" w:sz="4" w:space="0"/>
            </w:tcBorders>
            <w:shd w:val="clear" w:color="auto" w:fill="auto"/>
            <w:vAlign w:val="center"/>
          </w:tcPr>
          <w:p w14:paraId="52BDD98A">
            <w:pPr>
              <w:jc w:val="center"/>
              <w:rPr>
                <w:rFonts w:hint="eastAsia" w:ascii="宋体" w:hAnsi="宋体" w:eastAsia="宋体" w:cs="宋体"/>
                <w:i w:val="0"/>
                <w:iCs w:val="0"/>
                <w:color w:val="auto"/>
                <w:sz w:val="18"/>
                <w:szCs w:val="18"/>
                <w:u w:val="none"/>
              </w:rPr>
            </w:pPr>
          </w:p>
        </w:tc>
        <w:tc>
          <w:tcPr>
            <w:tcW w:w="15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064CB">
            <w:pPr>
              <w:jc w:val="center"/>
              <w:rPr>
                <w:rFonts w:hint="eastAsia" w:ascii="宋体" w:hAnsi="宋体" w:eastAsia="宋体" w:cs="宋体"/>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B267F">
            <w:pPr>
              <w:jc w:val="center"/>
              <w:rPr>
                <w:rFonts w:hint="eastAsia" w:ascii="宋体" w:hAnsi="宋体" w:eastAsia="宋体" w:cs="宋体"/>
                <w:i w:val="0"/>
                <w:iCs w:val="0"/>
                <w:color w:val="auto"/>
                <w:sz w:val="18"/>
                <w:szCs w:val="18"/>
                <w:u w:val="none"/>
              </w:rPr>
            </w:pP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C288">
            <w:pPr>
              <w:keepNext w:val="0"/>
              <w:keepLines w:val="0"/>
              <w:widowControl/>
              <w:suppressLineNumbers w:val="0"/>
              <w:jc w:val="left"/>
              <w:textAlignment w:val="center"/>
              <w:rPr>
                <w:rFonts w:hint="default" w:ascii="Calibri" w:hAnsi="Calibri" w:eastAsia="宋体" w:cs="Calibri"/>
                <w:i w:val="0"/>
                <w:iCs w:val="0"/>
                <w:color w:val="auto"/>
                <w:sz w:val="18"/>
                <w:szCs w:val="18"/>
                <w:u w:val="none"/>
              </w:rPr>
            </w:pPr>
            <w:r>
              <w:rPr>
                <w:rFonts w:hint="default" w:ascii="Calibri" w:hAnsi="Calibri" w:eastAsia="宋体" w:cs="Calibri"/>
                <w:i w:val="0"/>
                <w:iCs w:val="0"/>
                <w:color w:val="auto"/>
                <w:kern w:val="0"/>
                <w:sz w:val="18"/>
                <w:szCs w:val="18"/>
                <w:u w:val="none"/>
                <w:lang w:val="en-US" w:eastAsia="zh-CN" w:bidi="ar"/>
              </w:rPr>
              <w:t>③</w:t>
            </w:r>
            <w:r>
              <w:rPr>
                <w:rFonts w:hint="eastAsia" w:ascii="宋体" w:hAnsi="宋体" w:eastAsia="宋体" w:cs="宋体"/>
                <w:i w:val="0"/>
                <w:iCs w:val="0"/>
                <w:color w:val="auto"/>
                <w:kern w:val="0"/>
                <w:sz w:val="18"/>
                <w:szCs w:val="18"/>
                <w:u w:val="none"/>
                <w:lang w:val="en-US" w:eastAsia="zh-CN" w:bidi="ar"/>
              </w:rPr>
              <w:t>仓储服务人员应符合</w:t>
            </w:r>
            <w:r>
              <w:rPr>
                <w:rFonts w:hint="default" w:ascii="Calibri" w:hAnsi="Calibri" w:eastAsia="宋体" w:cs="Calibri"/>
                <w:i w:val="0"/>
                <w:iCs w:val="0"/>
                <w:color w:val="auto"/>
                <w:kern w:val="0"/>
                <w:sz w:val="18"/>
                <w:szCs w:val="18"/>
                <w:u w:val="none"/>
                <w:lang w:val="en-US" w:eastAsia="zh-CN" w:bidi="ar"/>
              </w:rPr>
              <w:t>GB/T 21070</w:t>
            </w:r>
            <w:r>
              <w:rPr>
                <w:rFonts w:hint="eastAsia" w:ascii="宋体" w:hAnsi="宋体" w:eastAsia="宋体" w:cs="宋体"/>
                <w:i w:val="0"/>
                <w:iCs w:val="0"/>
                <w:color w:val="auto"/>
                <w:kern w:val="0"/>
                <w:sz w:val="18"/>
                <w:szCs w:val="18"/>
                <w:u w:val="none"/>
                <w:lang w:val="en-US" w:eastAsia="zh-CN" w:bidi="ar"/>
              </w:rPr>
              <w:t>的有关规定仓储服务质量应符合</w:t>
            </w:r>
            <w:r>
              <w:rPr>
                <w:rFonts w:hint="default" w:ascii="Calibri" w:hAnsi="Calibri" w:eastAsia="宋体" w:cs="Calibri"/>
                <w:i w:val="0"/>
                <w:iCs w:val="0"/>
                <w:color w:val="auto"/>
                <w:kern w:val="0"/>
                <w:sz w:val="18"/>
                <w:szCs w:val="18"/>
                <w:u w:val="none"/>
                <w:lang w:val="en-US" w:eastAsia="zh-CN" w:bidi="ar"/>
              </w:rPr>
              <w:t>GB/T 21071</w:t>
            </w:r>
            <w:r>
              <w:rPr>
                <w:rFonts w:hint="eastAsia" w:ascii="宋体" w:hAnsi="宋体" w:eastAsia="宋体" w:cs="宋体"/>
                <w:i w:val="0"/>
                <w:iCs w:val="0"/>
                <w:color w:val="auto"/>
                <w:kern w:val="0"/>
                <w:sz w:val="18"/>
                <w:szCs w:val="18"/>
                <w:u w:val="none"/>
                <w:lang w:val="en-US" w:eastAsia="zh-CN" w:bidi="ar"/>
              </w:rPr>
              <w:t>的有关规定</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0A354">
            <w:pPr>
              <w:jc w:val="left"/>
              <w:rPr>
                <w:rFonts w:hint="eastAsia" w:ascii="宋体" w:hAnsi="宋体" w:eastAsia="宋体" w:cs="宋体"/>
                <w:i w:val="0"/>
                <w:iCs w:val="0"/>
                <w:color w:val="auto"/>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F4F51">
            <w:pPr>
              <w:jc w:val="left"/>
              <w:rPr>
                <w:rFonts w:hint="eastAsia" w:ascii="宋体" w:hAnsi="宋体" w:eastAsia="宋体" w:cs="宋体"/>
                <w:i w:val="0"/>
                <w:iCs w:val="0"/>
                <w:color w:val="auto"/>
                <w:sz w:val="18"/>
                <w:szCs w:val="18"/>
                <w:u w:val="none"/>
              </w:rPr>
            </w:pPr>
          </w:p>
        </w:tc>
      </w:tr>
      <w:tr w14:paraId="0C779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972" w:type="dxa"/>
            <w:vMerge w:val="restart"/>
            <w:tcBorders>
              <w:top w:val="single" w:color="000000" w:sz="4" w:space="0"/>
              <w:left w:val="single" w:color="000000" w:sz="4" w:space="0"/>
              <w:right w:val="single" w:color="000000" w:sz="4" w:space="0"/>
            </w:tcBorders>
            <w:shd w:val="clear" w:color="auto" w:fill="auto"/>
            <w:vAlign w:val="center"/>
          </w:tcPr>
          <w:p w14:paraId="0CB0CE7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服务过程（600分，不含延伸服务10分）</w:t>
            </w:r>
          </w:p>
          <w:p w14:paraId="62842A88">
            <w:pPr>
              <w:jc w:val="center"/>
              <w:rPr>
                <w:rFonts w:hint="eastAsia" w:ascii="宋体" w:hAnsi="宋体" w:eastAsia="宋体" w:cs="宋体"/>
                <w:i w:val="0"/>
                <w:iCs w:val="0"/>
                <w:color w:val="auto"/>
                <w:sz w:val="18"/>
                <w:szCs w:val="18"/>
                <w:u w:val="none"/>
              </w:rPr>
            </w:pPr>
          </w:p>
        </w:tc>
        <w:tc>
          <w:tcPr>
            <w:tcW w:w="975" w:type="dxa"/>
            <w:vMerge w:val="restart"/>
            <w:tcBorders>
              <w:top w:val="single" w:color="000000" w:sz="4" w:space="0"/>
              <w:left w:val="single" w:color="000000" w:sz="4" w:space="0"/>
              <w:right w:val="single" w:color="000000" w:sz="4" w:space="0"/>
            </w:tcBorders>
            <w:shd w:val="clear" w:color="auto" w:fill="auto"/>
            <w:vAlign w:val="center"/>
          </w:tcPr>
          <w:p w14:paraId="35EC1F09">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延伸服务（加分项10分）</w:t>
            </w:r>
          </w:p>
        </w:tc>
        <w:tc>
          <w:tcPr>
            <w:tcW w:w="15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87414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资产租赁服务</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1E621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1412">
            <w:pPr>
              <w:keepNext w:val="0"/>
              <w:keepLines w:val="0"/>
              <w:widowControl/>
              <w:suppressLineNumbers w:val="0"/>
              <w:jc w:val="left"/>
              <w:textAlignment w:val="center"/>
              <w:rPr>
                <w:rFonts w:hint="default" w:ascii="Calibri" w:hAnsi="Calibri" w:eastAsia="宋体" w:cs="Calibri"/>
                <w:i w:val="0"/>
                <w:iCs w:val="0"/>
                <w:color w:val="auto"/>
                <w:sz w:val="18"/>
                <w:szCs w:val="18"/>
                <w:u w:val="none"/>
              </w:rPr>
            </w:pPr>
            <w:r>
              <w:rPr>
                <w:rFonts w:hint="default" w:ascii="Calibri" w:hAnsi="Calibri" w:eastAsia="宋体" w:cs="Calibri"/>
                <w:i w:val="0"/>
                <w:iCs w:val="0"/>
                <w:color w:val="auto"/>
                <w:kern w:val="0"/>
                <w:sz w:val="18"/>
                <w:szCs w:val="18"/>
                <w:u w:val="none"/>
                <w:lang w:val="en-US" w:eastAsia="zh-CN" w:bidi="ar"/>
              </w:rPr>
              <w:t>①</w:t>
            </w:r>
            <w:r>
              <w:rPr>
                <w:rFonts w:hint="eastAsia" w:ascii="宋体" w:hAnsi="宋体" w:eastAsia="宋体" w:cs="宋体"/>
                <w:i w:val="0"/>
                <w:iCs w:val="0"/>
                <w:color w:val="auto"/>
                <w:kern w:val="0"/>
                <w:sz w:val="18"/>
                <w:szCs w:val="18"/>
                <w:u w:val="none"/>
                <w:lang w:val="en-US" w:eastAsia="zh-CN" w:bidi="ar"/>
              </w:rPr>
              <w:t>应结合产业园区实际情况，制定资产租赁服务方案，宜根据客户需求，做好租赁信息发布、洽谈、手续办理、费用结算以及租赁资产交接和回收等服务工作</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58665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查看资料</w:t>
            </w:r>
          </w:p>
        </w:tc>
        <w:tc>
          <w:tcPr>
            <w:tcW w:w="33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EEB24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依据资产租赁服务提供情况，依据符合程度得0～2分</w:t>
            </w:r>
          </w:p>
        </w:tc>
      </w:tr>
      <w:tr w14:paraId="0D14E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72" w:type="dxa"/>
            <w:vMerge w:val="continue"/>
            <w:tcBorders>
              <w:left w:val="single" w:color="000000" w:sz="4" w:space="0"/>
              <w:right w:val="single" w:color="000000" w:sz="4" w:space="0"/>
            </w:tcBorders>
            <w:shd w:val="clear" w:color="auto" w:fill="auto"/>
            <w:vAlign w:val="center"/>
          </w:tcPr>
          <w:p w14:paraId="3F11409A">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09414D71">
            <w:pPr>
              <w:jc w:val="center"/>
              <w:rPr>
                <w:rFonts w:hint="eastAsia" w:ascii="宋体" w:hAnsi="宋体" w:eastAsia="宋体" w:cs="宋体"/>
                <w:i w:val="0"/>
                <w:iCs w:val="0"/>
                <w:color w:val="auto"/>
                <w:sz w:val="18"/>
                <w:szCs w:val="18"/>
                <w:u w:val="none"/>
              </w:rPr>
            </w:pPr>
          </w:p>
        </w:tc>
        <w:tc>
          <w:tcPr>
            <w:tcW w:w="15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0E494">
            <w:pPr>
              <w:jc w:val="center"/>
              <w:rPr>
                <w:rFonts w:hint="eastAsia" w:ascii="宋体" w:hAnsi="宋体" w:eastAsia="宋体" w:cs="宋体"/>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3C7AE">
            <w:pPr>
              <w:jc w:val="center"/>
              <w:rPr>
                <w:rFonts w:hint="eastAsia" w:ascii="宋体" w:hAnsi="宋体" w:eastAsia="宋体" w:cs="宋体"/>
                <w:i w:val="0"/>
                <w:iCs w:val="0"/>
                <w:color w:val="auto"/>
                <w:sz w:val="18"/>
                <w:szCs w:val="18"/>
                <w:u w:val="none"/>
              </w:rPr>
            </w:pP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BEC84">
            <w:pPr>
              <w:keepNext w:val="0"/>
              <w:keepLines w:val="0"/>
              <w:widowControl/>
              <w:suppressLineNumbers w:val="0"/>
              <w:jc w:val="left"/>
              <w:textAlignment w:val="center"/>
              <w:rPr>
                <w:rFonts w:hint="default" w:ascii="Calibri" w:hAnsi="Calibri" w:eastAsia="宋体" w:cs="Calibri"/>
                <w:i w:val="0"/>
                <w:iCs w:val="0"/>
                <w:color w:val="auto"/>
                <w:sz w:val="18"/>
                <w:szCs w:val="18"/>
                <w:u w:val="none"/>
              </w:rPr>
            </w:pPr>
            <w:r>
              <w:rPr>
                <w:rFonts w:hint="default" w:ascii="Calibri" w:hAnsi="Calibri" w:eastAsia="宋体" w:cs="Calibri"/>
                <w:i w:val="0"/>
                <w:iCs w:val="0"/>
                <w:color w:val="auto"/>
                <w:kern w:val="0"/>
                <w:sz w:val="18"/>
                <w:szCs w:val="18"/>
                <w:u w:val="none"/>
                <w:lang w:val="en-US" w:eastAsia="zh-CN" w:bidi="ar"/>
              </w:rPr>
              <w:t>②</w:t>
            </w:r>
            <w:r>
              <w:rPr>
                <w:rFonts w:hint="eastAsia" w:ascii="宋体" w:hAnsi="宋体" w:eastAsia="宋体" w:cs="宋体"/>
                <w:i w:val="0"/>
                <w:iCs w:val="0"/>
                <w:color w:val="auto"/>
                <w:kern w:val="0"/>
                <w:sz w:val="18"/>
                <w:szCs w:val="18"/>
                <w:u w:val="none"/>
                <w:lang w:val="en-US" w:eastAsia="zh-CN" w:bidi="ar"/>
              </w:rPr>
              <w:t>应建立租赁资产管理档案，应采取有效措施保护客户信息安全</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F1F47">
            <w:pPr>
              <w:jc w:val="left"/>
              <w:rPr>
                <w:rFonts w:hint="eastAsia" w:ascii="宋体" w:hAnsi="宋体" w:eastAsia="宋体" w:cs="宋体"/>
                <w:i w:val="0"/>
                <w:iCs w:val="0"/>
                <w:color w:val="auto"/>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58F2E">
            <w:pPr>
              <w:jc w:val="left"/>
              <w:rPr>
                <w:rFonts w:hint="eastAsia" w:ascii="宋体" w:hAnsi="宋体" w:eastAsia="宋体" w:cs="宋体"/>
                <w:i w:val="0"/>
                <w:iCs w:val="0"/>
                <w:color w:val="auto"/>
                <w:sz w:val="18"/>
                <w:szCs w:val="18"/>
                <w:u w:val="none"/>
              </w:rPr>
            </w:pPr>
          </w:p>
        </w:tc>
      </w:tr>
      <w:tr w14:paraId="6DA74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72" w:type="dxa"/>
            <w:vMerge w:val="continue"/>
            <w:tcBorders>
              <w:left w:val="single" w:color="000000" w:sz="4" w:space="0"/>
              <w:right w:val="single" w:color="000000" w:sz="4" w:space="0"/>
            </w:tcBorders>
            <w:shd w:val="clear" w:color="auto" w:fill="auto"/>
            <w:vAlign w:val="center"/>
          </w:tcPr>
          <w:p w14:paraId="7CC59F68">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5E9DF8EB">
            <w:pPr>
              <w:jc w:val="center"/>
              <w:rPr>
                <w:rFonts w:hint="eastAsia" w:ascii="宋体" w:hAnsi="宋体" w:eastAsia="宋体" w:cs="宋体"/>
                <w:i w:val="0"/>
                <w:iCs w:val="0"/>
                <w:color w:val="auto"/>
                <w:sz w:val="18"/>
                <w:szCs w:val="18"/>
                <w:u w:val="none"/>
              </w:rPr>
            </w:pPr>
          </w:p>
        </w:tc>
        <w:tc>
          <w:tcPr>
            <w:tcW w:w="15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1E17D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其他特约服务</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68DE1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839BA">
            <w:pPr>
              <w:keepNext w:val="0"/>
              <w:keepLines w:val="0"/>
              <w:widowControl/>
              <w:suppressLineNumbers w:val="0"/>
              <w:jc w:val="left"/>
              <w:textAlignment w:val="center"/>
              <w:rPr>
                <w:rFonts w:hint="default" w:ascii="Calibri" w:hAnsi="Calibri" w:eastAsia="宋体" w:cs="Calibri"/>
                <w:i w:val="0"/>
                <w:iCs w:val="0"/>
                <w:color w:val="auto"/>
                <w:sz w:val="18"/>
                <w:szCs w:val="18"/>
                <w:u w:val="none"/>
              </w:rPr>
            </w:pPr>
            <w:r>
              <w:rPr>
                <w:rFonts w:hint="default" w:ascii="Calibri" w:hAnsi="Calibri" w:eastAsia="宋体" w:cs="Calibri"/>
                <w:i w:val="0"/>
                <w:iCs w:val="0"/>
                <w:color w:val="auto"/>
                <w:kern w:val="0"/>
                <w:sz w:val="18"/>
                <w:szCs w:val="18"/>
                <w:u w:val="none"/>
                <w:lang w:val="en-US" w:eastAsia="zh-CN" w:bidi="ar"/>
              </w:rPr>
              <w:t>①</w:t>
            </w:r>
            <w:r>
              <w:rPr>
                <w:rFonts w:hint="eastAsia" w:ascii="宋体" w:hAnsi="宋体" w:eastAsia="宋体" w:cs="宋体"/>
                <w:i w:val="0"/>
                <w:iCs w:val="0"/>
                <w:color w:val="auto"/>
                <w:kern w:val="0"/>
                <w:sz w:val="18"/>
                <w:szCs w:val="18"/>
                <w:u w:val="none"/>
                <w:lang w:val="en-US" w:eastAsia="zh-CN" w:bidi="ar"/>
              </w:rPr>
              <w:t>根据客户需求，提供多样、细致、专业的特约服务</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87969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查看资料</w:t>
            </w:r>
          </w:p>
        </w:tc>
        <w:tc>
          <w:tcPr>
            <w:tcW w:w="33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D0450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依据服务提供情况，依据符合程度得0～2分</w:t>
            </w:r>
          </w:p>
        </w:tc>
      </w:tr>
      <w:tr w14:paraId="394EB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72" w:type="dxa"/>
            <w:vMerge w:val="continue"/>
            <w:tcBorders>
              <w:left w:val="single" w:color="000000" w:sz="4" w:space="0"/>
              <w:right w:val="single" w:color="000000" w:sz="4" w:space="0"/>
            </w:tcBorders>
            <w:shd w:val="clear" w:color="auto" w:fill="auto"/>
            <w:vAlign w:val="center"/>
          </w:tcPr>
          <w:p w14:paraId="6C21283A">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44E5D931">
            <w:pPr>
              <w:jc w:val="center"/>
              <w:rPr>
                <w:rFonts w:hint="eastAsia" w:ascii="宋体" w:hAnsi="宋体" w:eastAsia="宋体" w:cs="宋体"/>
                <w:i w:val="0"/>
                <w:iCs w:val="0"/>
                <w:color w:val="auto"/>
                <w:sz w:val="18"/>
                <w:szCs w:val="18"/>
                <w:u w:val="none"/>
              </w:rPr>
            </w:pPr>
          </w:p>
        </w:tc>
        <w:tc>
          <w:tcPr>
            <w:tcW w:w="15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3AA89">
            <w:pPr>
              <w:jc w:val="center"/>
              <w:rPr>
                <w:rFonts w:hint="eastAsia" w:ascii="宋体" w:hAnsi="宋体" w:eastAsia="宋体" w:cs="宋体"/>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12E74">
            <w:pPr>
              <w:jc w:val="center"/>
              <w:rPr>
                <w:rFonts w:hint="eastAsia" w:ascii="宋体" w:hAnsi="宋体" w:eastAsia="宋体" w:cs="宋体"/>
                <w:i w:val="0"/>
                <w:iCs w:val="0"/>
                <w:color w:val="auto"/>
                <w:sz w:val="18"/>
                <w:szCs w:val="18"/>
                <w:u w:val="none"/>
              </w:rPr>
            </w:pP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7B92B">
            <w:pPr>
              <w:keepNext w:val="0"/>
              <w:keepLines w:val="0"/>
              <w:widowControl/>
              <w:suppressLineNumbers w:val="0"/>
              <w:jc w:val="left"/>
              <w:textAlignment w:val="center"/>
              <w:rPr>
                <w:rFonts w:hint="default" w:ascii="Calibri" w:hAnsi="Calibri" w:eastAsia="宋体" w:cs="Calibri"/>
                <w:i w:val="0"/>
                <w:iCs w:val="0"/>
                <w:color w:val="auto"/>
                <w:sz w:val="18"/>
                <w:szCs w:val="18"/>
                <w:u w:val="none"/>
              </w:rPr>
            </w:pPr>
            <w:r>
              <w:rPr>
                <w:rFonts w:hint="default" w:ascii="Calibri" w:hAnsi="Calibri" w:eastAsia="宋体" w:cs="Calibri"/>
                <w:i w:val="0"/>
                <w:iCs w:val="0"/>
                <w:color w:val="auto"/>
                <w:kern w:val="0"/>
                <w:sz w:val="18"/>
                <w:szCs w:val="18"/>
                <w:u w:val="none"/>
                <w:lang w:val="en-US" w:eastAsia="zh-CN" w:bidi="ar"/>
              </w:rPr>
              <w:t>②</w:t>
            </w:r>
            <w:r>
              <w:rPr>
                <w:rFonts w:hint="eastAsia" w:ascii="宋体" w:hAnsi="宋体" w:eastAsia="宋体" w:cs="宋体"/>
                <w:i w:val="0"/>
                <w:iCs w:val="0"/>
                <w:color w:val="auto"/>
                <w:kern w:val="0"/>
                <w:sz w:val="18"/>
                <w:szCs w:val="18"/>
                <w:u w:val="none"/>
                <w:lang w:val="en-US" w:eastAsia="zh-CN" w:bidi="ar"/>
              </w:rPr>
              <w:t>制定服务方案及相关应急预案，确保客户体验</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1948D">
            <w:pPr>
              <w:jc w:val="left"/>
              <w:rPr>
                <w:rFonts w:hint="eastAsia" w:ascii="宋体" w:hAnsi="宋体" w:eastAsia="宋体" w:cs="宋体"/>
                <w:i w:val="0"/>
                <w:iCs w:val="0"/>
                <w:color w:val="auto"/>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567B7">
            <w:pPr>
              <w:jc w:val="left"/>
              <w:rPr>
                <w:rFonts w:hint="eastAsia" w:ascii="宋体" w:hAnsi="宋体" w:eastAsia="宋体" w:cs="宋体"/>
                <w:i w:val="0"/>
                <w:iCs w:val="0"/>
                <w:color w:val="auto"/>
                <w:sz w:val="18"/>
                <w:szCs w:val="18"/>
                <w:u w:val="none"/>
              </w:rPr>
            </w:pPr>
          </w:p>
        </w:tc>
      </w:tr>
      <w:tr w14:paraId="17C17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72" w:type="dxa"/>
            <w:vMerge w:val="continue"/>
            <w:tcBorders>
              <w:left w:val="single" w:color="000000" w:sz="4" w:space="0"/>
              <w:bottom w:val="single" w:color="000000" w:sz="4" w:space="0"/>
              <w:right w:val="single" w:color="000000" w:sz="4" w:space="0"/>
            </w:tcBorders>
            <w:shd w:val="clear" w:color="auto" w:fill="auto"/>
            <w:vAlign w:val="center"/>
          </w:tcPr>
          <w:p w14:paraId="24A4422F">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bottom w:val="single" w:color="000000" w:sz="4" w:space="0"/>
              <w:right w:val="single" w:color="000000" w:sz="4" w:space="0"/>
            </w:tcBorders>
            <w:shd w:val="clear" w:color="auto" w:fill="auto"/>
            <w:vAlign w:val="center"/>
          </w:tcPr>
          <w:p w14:paraId="31B0BB4A">
            <w:pPr>
              <w:jc w:val="center"/>
              <w:rPr>
                <w:rFonts w:hint="eastAsia" w:ascii="宋体" w:hAnsi="宋体" w:eastAsia="宋体" w:cs="宋体"/>
                <w:i w:val="0"/>
                <w:iCs w:val="0"/>
                <w:color w:val="auto"/>
                <w:sz w:val="18"/>
                <w:szCs w:val="18"/>
                <w:u w:val="none"/>
              </w:rPr>
            </w:pPr>
          </w:p>
        </w:tc>
        <w:tc>
          <w:tcPr>
            <w:tcW w:w="15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6D23C">
            <w:pPr>
              <w:jc w:val="center"/>
              <w:rPr>
                <w:rFonts w:hint="eastAsia" w:ascii="宋体" w:hAnsi="宋体" w:eastAsia="宋体" w:cs="宋体"/>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E28EF">
            <w:pPr>
              <w:jc w:val="center"/>
              <w:rPr>
                <w:rFonts w:hint="eastAsia" w:ascii="宋体" w:hAnsi="宋体" w:eastAsia="宋体" w:cs="宋体"/>
                <w:i w:val="0"/>
                <w:iCs w:val="0"/>
                <w:color w:val="auto"/>
                <w:sz w:val="18"/>
                <w:szCs w:val="18"/>
                <w:u w:val="none"/>
              </w:rPr>
            </w:pP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C5A9">
            <w:pPr>
              <w:keepNext w:val="0"/>
              <w:keepLines w:val="0"/>
              <w:widowControl/>
              <w:suppressLineNumbers w:val="0"/>
              <w:jc w:val="left"/>
              <w:textAlignment w:val="center"/>
              <w:rPr>
                <w:rFonts w:hint="default" w:ascii="Calibri" w:hAnsi="Calibri" w:eastAsia="宋体" w:cs="Calibri"/>
                <w:i w:val="0"/>
                <w:iCs w:val="0"/>
                <w:color w:val="auto"/>
                <w:sz w:val="18"/>
                <w:szCs w:val="18"/>
                <w:u w:val="none"/>
              </w:rPr>
            </w:pPr>
            <w:r>
              <w:rPr>
                <w:rFonts w:hint="default" w:ascii="Calibri" w:hAnsi="Calibri" w:eastAsia="宋体" w:cs="Calibri"/>
                <w:i w:val="0"/>
                <w:iCs w:val="0"/>
                <w:color w:val="auto"/>
                <w:kern w:val="0"/>
                <w:sz w:val="18"/>
                <w:szCs w:val="18"/>
                <w:u w:val="none"/>
                <w:lang w:val="en-US" w:eastAsia="zh-CN" w:bidi="ar"/>
              </w:rPr>
              <w:t>③</w:t>
            </w:r>
            <w:r>
              <w:rPr>
                <w:rFonts w:hint="eastAsia" w:ascii="宋体" w:hAnsi="宋体" w:eastAsia="宋体" w:cs="宋体"/>
                <w:i w:val="0"/>
                <w:iCs w:val="0"/>
                <w:color w:val="auto"/>
                <w:kern w:val="0"/>
                <w:sz w:val="18"/>
                <w:szCs w:val="18"/>
                <w:u w:val="none"/>
                <w:lang w:val="en-US" w:eastAsia="zh-CN" w:bidi="ar"/>
              </w:rPr>
              <w:t>对涉及客户隐私或商业机密的信息进行保密，制定保密管理规定</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2A656">
            <w:pPr>
              <w:jc w:val="left"/>
              <w:rPr>
                <w:rFonts w:hint="eastAsia" w:ascii="宋体" w:hAnsi="宋体" w:eastAsia="宋体" w:cs="宋体"/>
                <w:i w:val="0"/>
                <w:iCs w:val="0"/>
                <w:color w:val="auto"/>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C73FA">
            <w:pPr>
              <w:jc w:val="left"/>
              <w:rPr>
                <w:rFonts w:hint="eastAsia" w:ascii="宋体" w:hAnsi="宋体" w:eastAsia="宋体" w:cs="宋体"/>
                <w:i w:val="0"/>
                <w:iCs w:val="0"/>
                <w:color w:val="auto"/>
                <w:sz w:val="18"/>
                <w:szCs w:val="18"/>
                <w:u w:val="none"/>
              </w:rPr>
            </w:pPr>
          </w:p>
        </w:tc>
      </w:tr>
      <w:tr w14:paraId="7A16C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72" w:type="dxa"/>
            <w:vMerge w:val="restart"/>
            <w:tcBorders>
              <w:top w:val="single" w:color="000000" w:sz="4" w:space="0"/>
              <w:left w:val="single" w:color="000000" w:sz="4" w:space="0"/>
              <w:right w:val="single" w:color="000000" w:sz="4" w:space="0"/>
            </w:tcBorders>
            <w:shd w:val="clear" w:color="auto" w:fill="auto"/>
            <w:vAlign w:val="center"/>
          </w:tcPr>
          <w:p w14:paraId="19F257D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服务结果(200分）</w:t>
            </w:r>
          </w:p>
        </w:tc>
        <w:tc>
          <w:tcPr>
            <w:tcW w:w="975" w:type="dxa"/>
            <w:vMerge w:val="restart"/>
            <w:tcBorders>
              <w:top w:val="single" w:color="000000" w:sz="4" w:space="0"/>
              <w:left w:val="single" w:color="000000" w:sz="4" w:space="0"/>
              <w:right w:val="single" w:color="000000" w:sz="4" w:space="0"/>
            </w:tcBorders>
            <w:shd w:val="clear" w:color="auto" w:fill="auto"/>
            <w:vAlign w:val="center"/>
          </w:tcPr>
          <w:p w14:paraId="1F5F62A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主观结果（100分）</w:t>
            </w:r>
          </w:p>
        </w:tc>
        <w:tc>
          <w:tcPr>
            <w:tcW w:w="15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2AA01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客户满意度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271F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1BD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按计划定期征询客户对物业服务的意见，进行客户满意测评</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3C2D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查验资料，查看客户测评记录</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F062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依据进行频次：≥4次/年，得50分；≥2次/年，得45分；≥1次/年，得40分；未进行的，得0分</w:t>
            </w:r>
          </w:p>
        </w:tc>
      </w:tr>
      <w:tr w14:paraId="65B95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72" w:type="dxa"/>
            <w:vMerge w:val="continue"/>
            <w:tcBorders>
              <w:left w:val="single" w:color="000000" w:sz="4" w:space="0"/>
              <w:right w:val="single" w:color="000000" w:sz="4" w:space="0"/>
            </w:tcBorders>
            <w:shd w:val="clear" w:color="auto" w:fill="auto"/>
            <w:vAlign w:val="center"/>
          </w:tcPr>
          <w:p w14:paraId="64BF063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bottom w:val="single" w:color="000000" w:sz="4" w:space="0"/>
              <w:right w:val="single" w:color="000000" w:sz="4" w:space="0"/>
            </w:tcBorders>
            <w:shd w:val="clear" w:color="auto" w:fill="auto"/>
            <w:vAlign w:val="center"/>
          </w:tcPr>
          <w:p w14:paraId="292F77AE">
            <w:pPr>
              <w:jc w:val="center"/>
              <w:rPr>
                <w:rFonts w:hint="eastAsia" w:ascii="宋体" w:hAnsi="宋体" w:eastAsia="宋体" w:cs="宋体"/>
                <w:i w:val="0"/>
                <w:iCs w:val="0"/>
                <w:color w:val="auto"/>
                <w:sz w:val="18"/>
                <w:szCs w:val="18"/>
                <w:u w:val="none"/>
              </w:rPr>
            </w:pPr>
          </w:p>
        </w:tc>
        <w:tc>
          <w:tcPr>
            <w:tcW w:w="15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833DD">
            <w:pPr>
              <w:jc w:val="center"/>
              <w:rPr>
                <w:rFonts w:hint="eastAsia" w:ascii="宋体" w:hAnsi="宋体" w:eastAsia="宋体" w:cs="宋体"/>
                <w:i w:val="0"/>
                <w:iCs w:val="0"/>
                <w:color w:val="auto"/>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0AFC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27C8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根据完善的客户评价和改进制度标准组织实施客户满意测评，针对客户反馈的问题闭环处理，采取根本改进措施，并实施有效</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2035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查验资料，抽查至少2份客户满意测评问题处理记录</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415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依据符合程度得0～50分，每与不符合一处扣10分，扣完为止</w:t>
            </w:r>
          </w:p>
        </w:tc>
      </w:tr>
      <w:tr w14:paraId="4C5A9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972" w:type="dxa"/>
            <w:vMerge w:val="continue"/>
            <w:tcBorders>
              <w:left w:val="single" w:color="000000" w:sz="4" w:space="0"/>
              <w:right w:val="single" w:color="000000" w:sz="4" w:space="0"/>
            </w:tcBorders>
            <w:shd w:val="clear" w:color="auto" w:fill="auto"/>
            <w:vAlign w:val="center"/>
          </w:tcPr>
          <w:p w14:paraId="69DE9EC3">
            <w:pPr>
              <w:jc w:val="center"/>
              <w:rPr>
                <w:rFonts w:hint="eastAsia" w:ascii="宋体" w:hAnsi="宋体" w:eastAsia="宋体" w:cs="宋体"/>
                <w:i w:val="0"/>
                <w:iCs w:val="0"/>
                <w:color w:val="auto"/>
                <w:sz w:val="18"/>
                <w:szCs w:val="18"/>
                <w:u w:val="none"/>
              </w:rPr>
            </w:pPr>
          </w:p>
        </w:tc>
        <w:tc>
          <w:tcPr>
            <w:tcW w:w="975" w:type="dxa"/>
            <w:vMerge w:val="restart"/>
            <w:tcBorders>
              <w:top w:val="single" w:color="000000" w:sz="4" w:space="0"/>
              <w:left w:val="single" w:color="000000" w:sz="4" w:space="0"/>
              <w:right w:val="single" w:color="000000" w:sz="4" w:space="0"/>
            </w:tcBorders>
            <w:shd w:val="clear" w:color="auto" w:fill="auto"/>
            <w:vAlign w:val="center"/>
          </w:tcPr>
          <w:p w14:paraId="7597BE3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客观结果（100分）</w:t>
            </w: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7C42E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设施设备完好性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91A8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EEEC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统计物业管理项目完好的设施设备在全部设施设备中的比重，即设施设备完好率（FAC）=完好设备总台数/服务设备总台数*100%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C151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查验资料，查看由所在物业服务企业或其他第三方机构出具的证明性文件</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66F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有相关证明文件的，依据符合程度得0～50分，其中，FAC≥90%，得50分；90%＞FAC≥80%，得45分；80%＞FAC≥70%，得40分；FAC＜70%，得0分无相关证明文件的，得0分</w:t>
            </w:r>
          </w:p>
        </w:tc>
      </w:tr>
      <w:tr w14:paraId="0180E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972" w:type="dxa"/>
            <w:vMerge w:val="continue"/>
            <w:tcBorders>
              <w:left w:val="single" w:color="000000" w:sz="4" w:space="0"/>
              <w:right w:val="single" w:color="000000" w:sz="4" w:space="0"/>
            </w:tcBorders>
            <w:shd w:val="clear" w:color="auto" w:fill="auto"/>
            <w:vAlign w:val="center"/>
          </w:tcPr>
          <w:p w14:paraId="4D6233C1">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right w:val="single" w:color="000000" w:sz="4" w:space="0"/>
            </w:tcBorders>
            <w:shd w:val="clear" w:color="auto" w:fill="auto"/>
            <w:vAlign w:val="center"/>
          </w:tcPr>
          <w:p w14:paraId="77E3E0CE">
            <w:pPr>
              <w:jc w:val="center"/>
              <w:rPr>
                <w:rFonts w:hint="eastAsia" w:ascii="宋体" w:hAnsi="宋体" w:eastAsia="宋体" w:cs="宋体"/>
                <w:i w:val="0"/>
                <w:iCs w:val="0"/>
                <w:color w:val="auto"/>
                <w:sz w:val="18"/>
                <w:szCs w:val="18"/>
                <w:u w:val="none"/>
              </w:rPr>
            </w:pP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AD965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需求响应有效性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034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EF3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统计客户需求（包括报事报修、问题反馈、来电来访等）的响应情况需求响应有效率（DRE）=按约定时间完成并获得客户认可的数量/收到客户需求的总数*100%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E61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查验资料，查看由所在物业服务企业或其他第三方机构出具的证明性文件</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2D26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有相关证明文件的，依据符合程度得0～30分，其中，DRE≥95%，得30分；95%＞DRE≥90%，得25分；90%＞DRE≥85%，得20分；DRE＜85%，得0分，无相关证明文件的，得0分</w:t>
            </w:r>
          </w:p>
        </w:tc>
      </w:tr>
      <w:tr w14:paraId="0D1BA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972" w:type="dxa"/>
            <w:vMerge w:val="continue"/>
            <w:tcBorders>
              <w:left w:val="single" w:color="000000" w:sz="4" w:space="0"/>
              <w:bottom w:val="single" w:color="000000" w:sz="4" w:space="0"/>
              <w:right w:val="single" w:color="000000" w:sz="4" w:space="0"/>
            </w:tcBorders>
            <w:shd w:val="clear" w:color="auto" w:fill="auto"/>
            <w:vAlign w:val="center"/>
          </w:tcPr>
          <w:p w14:paraId="4B4CDAD6">
            <w:pPr>
              <w:jc w:val="center"/>
              <w:rPr>
                <w:rFonts w:hint="eastAsia" w:ascii="宋体" w:hAnsi="宋体" w:eastAsia="宋体" w:cs="宋体"/>
                <w:i w:val="0"/>
                <w:iCs w:val="0"/>
                <w:color w:val="auto"/>
                <w:sz w:val="18"/>
                <w:szCs w:val="18"/>
                <w:u w:val="none"/>
              </w:rPr>
            </w:pPr>
          </w:p>
        </w:tc>
        <w:tc>
          <w:tcPr>
            <w:tcW w:w="975" w:type="dxa"/>
            <w:vMerge w:val="continue"/>
            <w:tcBorders>
              <w:left w:val="single" w:color="000000" w:sz="4" w:space="0"/>
              <w:bottom w:val="single" w:color="000000" w:sz="4" w:space="0"/>
              <w:right w:val="single" w:color="000000" w:sz="4" w:space="0"/>
            </w:tcBorders>
            <w:shd w:val="clear" w:color="auto" w:fill="auto"/>
            <w:vAlign w:val="center"/>
          </w:tcPr>
          <w:p w14:paraId="0697DDCD">
            <w:pPr>
              <w:jc w:val="center"/>
              <w:rPr>
                <w:rFonts w:hint="eastAsia" w:ascii="宋体" w:hAnsi="宋体" w:eastAsia="宋体" w:cs="宋体"/>
                <w:i w:val="0"/>
                <w:iCs w:val="0"/>
                <w:color w:val="auto"/>
                <w:sz w:val="18"/>
                <w:szCs w:val="18"/>
                <w:u w:val="none"/>
              </w:rPr>
            </w:pP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FBFFF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服务收费经济性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55B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3DDD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统计物业服务费收缴情况，即物业费收缴率（R）=实际收缴的物业费/应收缴的物业费*100%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C61C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查验资料，查看由所在物业服务企业或其他第三方机构出具的证明性文件</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0E6C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有相关证明文件的，依据符合程度得0～20分，其中，R≥95%，得20分；95%＞R≥90%，得15分；90%＞R≥85%，得12分；R＜85%，得0分，无相关证明文件的，得0分</w:t>
            </w:r>
          </w:p>
        </w:tc>
      </w:tr>
    </w:tbl>
    <w:p w14:paraId="6CD535ED">
      <w:pPr>
        <w:rPr>
          <w:rFonts w:hint="eastAsia" w:ascii="宋体" w:hAnsi="宋体" w:cs="宋体"/>
          <w:sz w:val="18"/>
          <w:szCs w:val="18"/>
        </w:rPr>
      </w:pPr>
    </w:p>
    <w:p w14:paraId="06F65908">
      <w:pPr>
        <w:rPr>
          <w:rFonts w:hint="eastAsia" w:ascii="宋体" w:hAnsi="宋体" w:cs="宋体"/>
          <w:sz w:val="18"/>
          <w:szCs w:val="18"/>
        </w:rPr>
        <w:sectPr>
          <w:pgSz w:w="16840" w:h="11910" w:orient="landscape"/>
          <w:pgMar w:top="1587" w:right="1360" w:bottom="1020" w:left="851" w:header="1417" w:footer="850" w:gutter="0"/>
          <w:cols w:space="720" w:num="1"/>
          <w:docGrid w:linePitch="286" w:charSpace="0"/>
        </w:sectPr>
      </w:pPr>
    </w:p>
    <w:p w14:paraId="33C2304B">
      <w:pPr>
        <w:pStyle w:val="13"/>
        <w:spacing w:before="5"/>
        <w:ind w:left="112"/>
        <w:jc w:val="center"/>
        <w:outlineLvl w:val="0"/>
        <w:rPr>
          <w:rFonts w:hint="eastAsia" w:ascii="黑体" w:hAnsi="黑体" w:eastAsia="黑体" w:cs="黑体"/>
          <w:kern w:val="10"/>
        </w:rPr>
      </w:pPr>
      <w:bookmarkStart w:id="137" w:name="_Toc17774"/>
      <w:bookmarkStart w:id="138" w:name="_Toc4182"/>
      <w:bookmarkStart w:id="139" w:name="_Toc4164"/>
      <w:r>
        <w:rPr>
          <w:rFonts w:hint="eastAsia" w:ascii="黑体" w:hAnsi="黑体" w:eastAsia="黑体" w:cs="黑体"/>
          <w:kern w:val="10"/>
          <w:lang w:eastAsia="zh-CN"/>
        </w:rPr>
        <w:t>参考文献</w:t>
      </w:r>
      <w:bookmarkEnd w:id="137"/>
      <w:bookmarkEnd w:id="138"/>
      <w:bookmarkEnd w:id="139"/>
    </w:p>
    <w:p w14:paraId="3BC3836A">
      <w:pPr>
        <w:pStyle w:val="228"/>
        <w:ind w:firstLine="420"/>
      </w:pPr>
    </w:p>
    <w:p w14:paraId="56954F00">
      <w:pPr>
        <w:pStyle w:val="228"/>
        <w:ind w:firstLine="420"/>
      </w:pPr>
      <w:r>
        <w:rPr>
          <w:rFonts w:hint="eastAsia"/>
        </w:rPr>
        <w:t xml:space="preserve">[1] GB/T 20001.8 标准起草规则 第8部分：评价标准 </w:t>
      </w:r>
    </w:p>
    <w:p w14:paraId="39049681">
      <w:pPr>
        <w:pStyle w:val="228"/>
        <w:ind w:firstLine="420"/>
      </w:pPr>
      <w:r>
        <w:rPr>
          <w:rFonts w:hint="eastAsia"/>
        </w:rPr>
        <w:t>[2] GB/T 36574 产业园区废气综合利用原则和要求</w:t>
      </w:r>
    </w:p>
    <w:p w14:paraId="000EB519">
      <w:pPr>
        <w:pStyle w:val="228"/>
        <w:ind w:firstLine="420"/>
      </w:pPr>
      <w:r>
        <w:rPr>
          <w:rFonts w:hint="eastAsia"/>
        </w:rPr>
        <w:t>[3] GB/T 36733 服务质量评价通则</w:t>
      </w:r>
    </w:p>
    <w:p w14:paraId="4F463894">
      <w:pPr>
        <w:pStyle w:val="228"/>
        <w:ind w:firstLine="420"/>
        <w:jc w:val="left"/>
      </w:pPr>
      <w:r>
        <w:rPr>
          <w:rFonts w:hint="eastAsia"/>
        </w:rPr>
        <w:t>[</w:t>
      </w:r>
      <w:r>
        <w:rPr>
          <w:rFonts w:hint="eastAsia"/>
          <w:lang w:val="en-US" w:eastAsia="zh-CN"/>
        </w:rPr>
        <w:t>4</w:t>
      </w:r>
      <w:r>
        <w:rPr>
          <w:rFonts w:hint="eastAsia"/>
        </w:rPr>
        <w:t>] SB/T</w:t>
      </w:r>
      <w:r>
        <w:rPr>
          <w:rFonts w:hint="eastAsia"/>
          <w:lang w:val="en-US" w:eastAsia="zh-CN"/>
        </w:rPr>
        <w:t xml:space="preserve"> </w:t>
      </w:r>
      <w:r>
        <w:rPr>
          <w:rFonts w:hint="eastAsia"/>
        </w:rPr>
        <w:t xml:space="preserve">11172 家电维修服务质量评价规范 </w:t>
      </w:r>
    </w:p>
    <w:p w14:paraId="700B4EF3">
      <w:pPr>
        <w:spacing w:line="20" w:lineRule="atLeast"/>
        <w:ind w:left="3567"/>
        <w:rPr>
          <w:rFonts w:hint="eastAsia" w:ascii="宋体" w:hAnsi="宋体" w:cs="宋体"/>
          <w:sz w:val="2"/>
          <w:szCs w:val="2"/>
        </w:rPr>
      </w:pPr>
      <w:r>
        <mc:AlternateContent>
          <mc:Choice Requires="wps">
            <w:drawing>
              <wp:anchor distT="0" distB="0" distL="114300" distR="114300" simplePos="0" relativeHeight="251661312" behindDoc="0" locked="0" layoutInCell="1" allowOverlap="1">
                <wp:simplePos x="0" y="0"/>
                <wp:positionH relativeFrom="column">
                  <wp:posOffset>1874520</wp:posOffset>
                </wp:positionH>
                <wp:positionV relativeFrom="paragraph">
                  <wp:posOffset>1203325</wp:posOffset>
                </wp:positionV>
                <wp:extent cx="2301875" cy="635"/>
                <wp:effectExtent l="0" t="0" r="0" b="0"/>
                <wp:wrapNone/>
                <wp:docPr id="10" name="直接连接符 10"/>
                <wp:cNvGraphicFramePr/>
                <a:graphic xmlns:a="http://schemas.openxmlformats.org/drawingml/2006/main">
                  <a:graphicData uri="http://schemas.microsoft.com/office/word/2010/wordprocessingShape">
                    <wps:wsp>
                      <wps:cNvCnPr/>
                      <wps:spPr>
                        <a:xfrm>
                          <a:off x="1211580" y="2379345"/>
                          <a:ext cx="2301875" cy="635"/>
                        </a:xfrm>
                        <a:prstGeom prst="line">
                          <a:avLst/>
                        </a:prstGeom>
                        <a:ln w="952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47.6pt;margin-top:94.75pt;height:0.05pt;width:181.25pt;z-index:251661312;mso-width-relative:page;mso-height-relative:page;" filled="f" stroked="t" coordsize="21600,21600" o:gfxdata="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Aa&#10;w03ZAAAACwEAAA8AAAAAAAAAAQAgAAAAIgAAAGRycy9kb3ducmV2LnhtbFBLAQIUABQAAAAIAIdO&#10;4kAdqo9j6QEAAKoDAAAOAAAAAAAAAAEAIAAAACgBAABkcnMvZTJvRG9jLnhtbFBLBQYAAAAABgAG&#10;AFkBAACDBQAAAAA=&#10;">
                <v:fill on="f" focussize="0,0"/>
                <v:stroke color="#000000 [3213]" joinstyle="round"/>
                <v:imagedata o:title=""/>
                <o:lock v:ext="edit" aspectratio="f"/>
              </v:line>
            </w:pict>
          </mc:Fallback>
        </mc:AlternateContent>
      </w:r>
    </w:p>
    <w:sectPr>
      <w:pgSz w:w="11906" w:h="16838"/>
      <w:pgMar w:top="1418" w:right="1134" w:bottom="1134" w:left="1418" w:header="1418" w:footer="1134" w:gutter="0"/>
      <w:cols w:space="0" w:num="1"/>
      <w:formProt w:val="0"/>
      <w:docGrid w:type="lines" w:linePitch="32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BC6EF82-250B-4743-888C-BCAEE215415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7314CD3-FFE8-4C14-BAC3-11407E051ADC}"/>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embedRegular r:id="rId3" w:fontKey="{093EFA68-56CE-43B5-ADE2-C8BD477F4C17}"/>
  </w:font>
  <w:font w:name="Segoe UI">
    <w:panose1 w:val="020B0502040204020203"/>
    <w:charset w:val="00"/>
    <w:family w:val="swiss"/>
    <w:pitch w:val="default"/>
    <w:sig w:usb0="E4002EFF" w:usb1="C000E47F" w:usb2="00000009" w:usb3="00000000" w:csb0="200001FF" w:csb1="00000000"/>
    <w:embedRegular r:id="rId4" w:fontKey="{B323FAF7-DC84-41C9-B1DF-5363AAE158E9}"/>
  </w:font>
  <w:font w:name="Cambria Math">
    <w:panose1 w:val="02040503050406030204"/>
    <w:charset w:val="00"/>
    <w:family w:val="roman"/>
    <w:pitch w:val="default"/>
    <w:sig w:usb0="E00006FF" w:usb1="420024FF" w:usb2="02000000" w:usb3="00000000" w:csb0="2000019F" w:csb1="00000000"/>
    <w:embedRegular r:id="rId5" w:fontKey="{3268F9C7-5E52-426C-8611-CC94E40E362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AA2BF">
    <w:pPr>
      <w:pStyle w:val="22"/>
      <w:jc w:val="center"/>
    </w:pPr>
  </w:p>
  <w:p w14:paraId="1B86BE18">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46818852"/>
      <w:docPartObj>
        <w:docPartGallery w:val="autotext"/>
      </w:docPartObj>
    </w:sdtPr>
    <w:sdtContent>
      <w:p w14:paraId="33BDFC2F">
        <w:pPr>
          <w:pStyle w:val="22"/>
          <w:jc w:val="center"/>
        </w:pPr>
        <w:r>
          <w:fldChar w:fldCharType="begin"/>
        </w:r>
        <w:r>
          <w:instrText xml:space="preserve">PAGE   \* MERGEFORMAT</w:instrText>
        </w:r>
        <w:r>
          <w:fldChar w:fldCharType="separate"/>
        </w:r>
        <w:r>
          <w:rPr>
            <w:lang w:val="zh-CN"/>
          </w:rPr>
          <w:t>2</w:t>
        </w:r>
        <w:r>
          <w:fldChar w:fldCharType="end"/>
        </w:r>
      </w:p>
    </w:sdtContent>
  </w:sdt>
  <w:p w14:paraId="1A8062D4">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77200044"/>
      <w:docPartObj>
        <w:docPartGallery w:val="autotext"/>
      </w:docPartObj>
    </w:sdtPr>
    <w:sdtContent>
      <w:p w14:paraId="084D82A3">
        <w:pPr>
          <w:pStyle w:val="22"/>
          <w:jc w:val="center"/>
        </w:pPr>
        <w:r>
          <w:fldChar w:fldCharType="begin"/>
        </w:r>
        <w:r>
          <w:instrText xml:space="preserve">PAGE   \* MERGEFORMAT</w:instrText>
        </w:r>
        <w:r>
          <w:fldChar w:fldCharType="separate"/>
        </w:r>
        <w:r>
          <w:rPr>
            <w:lang w:val="zh-CN"/>
          </w:rPr>
          <w:t>2</w:t>
        </w:r>
        <w:r>
          <w:fldChar w:fldCharType="end"/>
        </w:r>
      </w:p>
    </w:sdtContent>
  </w:sdt>
  <w:p w14:paraId="5B84D816">
    <w:pPr>
      <w:spacing w:line="14" w:lineRule="auto"/>
      <w:rPr>
        <w:sz w:val="2"/>
        <w:szCs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B8E81">
    <w:pPr>
      <w:pStyle w:val="23"/>
      <w:jc w:val="right"/>
      <w:rPr>
        <w:rFonts w:eastAsia="黑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8C141">
    <w:pPr>
      <w:pStyle w:val="23"/>
      <w:pBdr>
        <w:bottom w:val="none" w:color="auto" w:sz="0" w:space="0"/>
      </w:pBdr>
      <w:jc w:val="right"/>
      <w:rPr>
        <w:rFonts w:eastAsia="黑体"/>
      </w:rPr>
    </w:pPr>
    <w:r>
      <w:rPr>
        <w:rFonts w:ascii="黑体" w:hAnsi="黑体" w:eastAsia="黑体"/>
        <w:color w:val="000000" w:themeColor="text1"/>
        <w14:textFill>
          <w14:solidFill>
            <w14:schemeClr w14:val="tx1"/>
          </w14:solidFill>
        </w14:textFill>
      </w:rPr>
      <w:t>T/CPMI 0</w:t>
    </w:r>
    <w:r>
      <w:rPr>
        <w:rFonts w:hint="eastAsia" w:ascii="黑体" w:hAnsi="黑体" w:eastAsia="黑体"/>
        <w:color w:val="000000" w:themeColor="text1"/>
        <w14:textFill>
          <w14:solidFill>
            <w14:schemeClr w14:val="tx1"/>
          </w14:solidFill>
        </w14:textFill>
      </w:rPr>
      <w:t>XX</w:t>
    </w:r>
    <w:r>
      <w:rPr>
        <w:rFonts w:ascii="黑体" w:hAnsi="黑体" w:eastAsia="黑体"/>
        <w:color w:val="000000" w:themeColor="text1"/>
        <w14:textFill>
          <w14:solidFill>
            <w14:schemeClr w14:val="tx1"/>
          </w14:solidFill>
        </w14:textFill>
      </w:rPr>
      <w:t>—202</w:t>
    </w:r>
    <w:r>
      <w:rPr>
        <w:rFonts w:hint="eastAsia" w:ascii="黑体" w:hAnsi="黑体" w:eastAsia="黑体"/>
        <w:color w:val="000000" w:themeColor="text1"/>
        <w14:textFill>
          <w14:solidFill>
            <w14:schemeClr w14:val="tx1"/>
          </w14:solidFill>
        </w14:textFill>
      </w:rPr>
      <w:t>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96845">
    <w:pPr>
      <w:pStyle w:val="23"/>
      <w:pBdr>
        <w:bottom w:val="none" w:color="auto" w:sz="0" w:space="0"/>
      </w:pBdr>
      <w:jc w:val="right"/>
      <w:rPr>
        <w:rFonts w:eastAsia="黑体"/>
      </w:rPr>
    </w:pPr>
    <w:r>
      <w:rPr>
        <w:rFonts w:ascii="黑体" w:hAnsi="黑体" w:eastAsia="黑体"/>
        <w:color w:val="000000" w:themeColor="text1"/>
        <w14:textFill>
          <w14:solidFill>
            <w14:schemeClr w14:val="tx1"/>
          </w14:solidFill>
        </w14:textFill>
      </w:rPr>
      <w:t>T/CPMI 0</w:t>
    </w:r>
    <w:r>
      <w:rPr>
        <w:rFonts w:hint="eastAsia" w:ascii="黑体" w:hAnsi="黑体" w:eastAsia="黑体"/>
        <w:color w:val="000000" w:themeColor="text1"/>
        <w14:textFill>
          <w14:solidFill>
            <w14:schemeClr w14:val="tx1"/>
          </w14:solidFill>
        </w14:textFill>
      </w:rPr>
      <w:t>XX</w:t>
    </w:r>
    <w:r>
      <w:rPr>
        <w:rFonts w:ascii="黑体" w:hAnsi="黑体" w:eastAsia="黑体"/>
        <w:color w:val="000000" w:themeColor="text1"/>
        <w14:textFill>
          <w14:solidFill>
            <w14:schemeClr w14:val="tx1"/>
          </w14:solidFill>
        </w14:textFill>
      </w:rPr>
      <w:t>—202</w:t>
    </w:r>
    <w:r>
      <w:rPr>
        <w:rFonts w:hint="eastAsia" w:ascii="黑体" w:hAnsi="黑体" w:eastAsia="黑体"/>
        <w:color w:val="000000" w:themeColor="text1"/>
        <w14:textFill>
          <w14:solidFill>
            <w14:schemeClr w14:val="tx1"/>
          </w14:solidFill>
        </w14:textFill>
      </w:rPr>
      <w:t>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7A05D"/>
    <w:multiLevelType w:val="singleLevel"/>
    <w:tmpl w:val="9847A05D"/>
    <w:lvl w:ilvl="0" w:tentative="0">
      <w:start w:val="1"/>
      <w:numFmt w:val="lowerLetter"/>
      <w:suff w:val="space"/>
      <w:lvlText w:val="%1）"/>
      <w:lvlJc w:val="left"/>
    </w:lvl>
  </w:abstractNum>
  <w:abstractNum w:abstractNumId="1">
    <w:nsid w:val="C1C3439B"/>
    <w:multiLevelType w:val="singleLevel"/>
    <w:tmpl w:val="C1C3439B"/>
    <w:lvl w:ilvl="0" w:tentative="0">
      <w:start w:val="1"/>
      <w:numFmt w:val="lowerLetter"/>
      <w:suff w:val="space"/>
      <w:lvlText w:val="%1）"/>
      <w:lvlJc w:val="left"/>
    </w:lvl>
  </w:abstractNum>
  <w:abstractNum w:abstractNumId="2">
    <w:nsid w:val="0717A3C4"/>
    <w:multiLevelType w:val="singleLevel"/>
    <w:tmpl w:val="0717A3C4"/>
    <w:lvl w:ilvl="0" w:tentative="0">
      <w:start w:val="1"/>
      <w:numFmt w:val="lowerLetter"/>
      <w:suff w:val="space"/>
      <w:lvlText w:val="%1）"/>
      <w:lvlJc w:val="left"/>
    </w:lvl>
  </w:abstractNum>
  <w:abstractNum w:abstractNumId="3">
    <w:nsid w:val="11C30A22"/>
    <w:multiLevelType w:val="multilevel"/>
    <w:tmpl w:val="11C30A22"/>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05"/>
      <w:lvlText w:val="%2)"/>
      <w:lvlJc w:val="left"/>
      <w:pPr>
        <w:tabs>
          <w:tab w:val="left" w:pos="1260"/>
        </w:tabs>
        <w:ind w:left="1259" w:hanging="419"/>
      </w:pPr>
      <w:rPr>
        <w:rFonts w:hint="eastAsia"/>
      </w:rPr>
    </w:lvl>
    <w:lvl w:ilvl="2" w:tentative="0">
      <w:start w:val="1"/>
      <w:numFmt w:val="decimal"/>
      <w:pStyle w:val="110"/>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
    <w:nsid w:val="2C5917C3"/>
    <w:multiLevelType w:val="multilevel"/>
    <w:tmpl w:val="2C5917C3"/>
    <w:lvl w:ilvl="0" w:tentative="0">
      <w:start w:val="1"/>
      <w:numFmt w:val="none"/>
      <w:pStyle w:val="229"/>
      <w:lvlText w:val="%1——"/>
      <w:lvlJc w:val="left"/>
      <w:pPr>
        <w:tabs>
          <w:tab w:val="left" w:pos="1986"/>
        </w:tabs>
        <w:ind w:left="1986" w:hanging="426"/>
      </w:pPr>
      <w:rPr>
        <w:rFonts w:hint="eastAsia" w:ascii="宋体" w:hAnsi="Times New Roman" w:eastAsia="宋体"/>
        <w:b w:val="0"/>
        <w:i w:val="0"/>
        <w:sz w:val="21"/>
        <w:lang w:val="en-US"/>
      </w:rPr>
    </w:lvl>
    <w:lvl w:ilvl="1" w:tentative="0">
      <w:start w:val="1"/>
      <w:numFmt w:val="none"/>
      <w:lvlText w:val=""/>
      <w:lvlJc w:val="left"/>
      <w:pPr>
        <w:ind w:left="851" w:hanging="431"/>
      </w:pPr>
      <w:rPr>
        <w:rFonts w:hint="default" w:ascii="Symbol" w:hAnsi="Symbol"/>
        <w:sz w:val="21"/>
      </w:rPr>
    </w:lvl>
    <w:lvl w:ilvl="2" w:tentative="0">
      <w:start w:val="1"/>
      <w:numFmt w:val="bullet"/>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5">
    <w:nsid w:val="2CC493FF"/>
    <w:multiLevelType w:val="singleLevel"/>
    <w:tmpl w:val="2CC493FF"/>
    <w:lvl w:ilvl="0" w:tentative="0">
      <w:start w:val="1"/>
      <w:numFmt w:val="lowerLetter"/>
      <w:suff w:val="space"/>
      <w:lvlText w:val="%1）"/>
      <w:lvlJc w:val="left"/>
    </w:lvl>
  </w:abstractNum>
  <w:abstractNum w:abstractNumId="6">
    <w:nsid w:val="36C0401F"/>
    <w:multiLevelType w:val="multilevel"/>
    <w:tmpl w:val="36C0401F"/>
    <w:lvl w:ilvl="0" w:tentative="0">
      <w:start w:val="1"/>
      <w:numFmt w:val="decimal"/>
      <w:suff w:val="nothing"/>
      <w:lvlText w:val="%1"/>
      <w:lvlJc w:val="left"/>
      <w:pPr>
        <w:ind w:left="0" w:firstLine="0"/>
      </w:pPr>
      <w:rPr>
        <w:rFonts w:hint="default" w:ascii="黑体" w:hAnsi="黑体" w:eastAsia="黑体" w:cs="黑体"/>
        <w:sz w:val="21"/>
        <w:szCs w:val="21"/>
      </w:rPr>
    </w:lvl>
    <w:lvl w:ilvl="1" w:tentative="0">
      <w:start w:val="1"/>
      <w:numFmt w:val="decimal"/>
      <w:suff w:val="nothing"/>
      <w:lvlText w:val="%1.%2"/>
      <w:lvlJc w:val="left"/>
      <w:pPr>
        <w:ind w:left="0" w:firstLine="0"/>
      </w:pPr>
      <w:rPr>
        <w:rFonts w:hint="default" w:ascii="黑体" w:hAnsi="黑体" w:eastAsia="黑体" w:cs="黑体"/>
        <w:sz w:val="21"/>
        <w:szCs w:val="21"/>
      </w:rPr>
    </w:lvl>
    <w:lvl w:ilvl="2" w:tentative="0">
      <w:start w:val="1"/>
      <w:numFmt w:val="decimal"/>
      <w:suff w:val="nothing"/>
      <w:lvlText w:val="%1.%2.%3"/>
      <w:lvlJc w:val="left"/>
      <w:pPr>
        <w:ind w:left="630" w:firstLine="0"/>
      </w:pPr>
      <w:rPr>
        <w:rFonts w:hint="default" w:ascii="黑体" w:hAnsi="黑体" w:eastAsia="黑体"/>
        <w:b w:val="0"/>
        <w:bCs w:val="0"/>
      </w:rPr>
    </w:lvl>
    <w:lvl w:ilvl="3" w:tentative="0">
      <w:start w:val="1"/>
      <w:numFmt w:val="decimal"/>
      <w:suff w:val="space"/>
      <w:lvlText w:val="%1.%2.%3.%4"/>
      <w:lvlJc w:val="left"/>
      <w:pPr>
        <w:ind w:left="0" w:firstLine="0"/>
      </w:pPr>
      <w:rPr>
        <w:rFonts w:hint="default" w:asciiTheme="majorEastAsia" w:hAnsiTheme="majorEastAsia" w:eastAsiaTheme="majorEastAsia"/>
      </w:rPr>
    </w:lvl>
    <w:lvl w:ilvl="4" w:tentative="0">
      <w:start w:val="1"/>
      <w:numFmt w:val="decimal"/>
      <w:suff w:val="space"/>
      <w:lvlText w:val="%1.%2.%3.%4.%5"/>
      <w:lvlJc w:val="left"/>
      <w:pPr>
        <w:ind w:left="0" w:firstLine="0"/>
      </w:pPr>
      <w:rPr>
        <w:rFonts w:hint="default" w:asciiTheme="minorEastAsia" w:hAnsiTheme="minorEastAsia" w:eastAsiaTheme="minorEastAsia"/>
        <w:b w:val="0"/>
        <w:bCs w:val="0"/>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7">
    <w:nsid w:val="5603797C"/>
    <w:multiLevelType w:val="multilevel"/>
    <w:tmpl w:val="5603797C"/>
    <w:lvl w:ilvl="0" w:tentative="0">
      <w:start w:val="1"/>
      <w:numFmt w:val="upperLetter"/>
      <w:suff w:val="space"/>
      <w:lvlText w:val="%1"/>
      <w:lvlJc w:val="left"/>
      <w:pPr>
        <w:ind w:left="425" w:hanging="425"/>
      </w:pPr>
      <w:rPr>
        <w:rFonts w:hint="eastAsia"/>
      </w:rPr>
    </w:lvl>
    <w:lvl w:ilvl="1" w:tentative="0">
      <w:start w:val="1"/>
      <w:numFmt w:val="decimal"/>
      <w:pStyle w:val="240"/>
      <w:suff w:val="space"/>
      <w:lvlText w:val="表%1.%2"/>
      <w:lvlJc w:val="center"/>
      <w:pPr>
        <w:ind w:left="0" w:firstLine="0"/>
      </w:pPr>
      <w:rPr>
        <w:rFonts w:hint="default" w:ascii="黑体" w:eastAsia="黑体"/>
        <w:sz w:val="21"/>
        <w:highlight w:val="none"/>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8">
    <w:nsid w:val="6C1E6896"/>
    <w:multiLevelType w:val="singleLevel"/>
    <w:tmpl w:val="6C1E6896"/>
    <w:lvl w:ilvl="0" w:tentative="0">
      <w:start w:val="1"/>
      <w:numFmt w:val="lowerLetter"/>
      <w:suff w:val="space"/>
      <w:lvlText w:val="%1）"/>
      <w:lvlJc w:val="left"/>
    </w:lvl>
  </w:abstractNum>
  <w:abstractNum w:abstractNumId="9">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227"/>
      <w:suff w:val="nothing"/>
      <w:lvlText w:val="%1%2.%3.%4　"/>
      <w:lvlJc w:val="left"/>
      <w:pPr>
        <w:ind w:left="2553" w:firstLine="0"/>
      </w:pPr>
      <w:rPr>
        <w:rFonts w:hint="eastAsia" w:ascii="黑体" w:eastAsia="黑体"/>
        <w:b w:val="0"/>
        <w:i w:val="0"/>
        <w:sz w:val="21"/>
      </w:rPr>
    </w:lvl>
    <w:lvl w:ilvl="4" w:tentative="0">
      <w:start w:val="1"/>
      <w:numFmt w:val="decimal"/>
      <w:pStyle w:val="226"/>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7DFE150E"/>
    <w:multiLevelType w:val="singleLevel"/>
    <w:tmpl w:val="7DFE150E"/>
    <w:lvl w:ilvl="0" w:tentative="0">
      <w:start w:val="1"/>
      <w:numFmt w:val="lowerLetter"/>
      <w:suff w:val="space"/>
      <w:lvlText w:val="%1）"/>
      <w:lvlJc w:val="left"/>
    </w:lvl>
  </w:abstractNum>
  <w:abstractNum w:abstractNumId="11">
    <w:nsid w:val="7E5C85D0"/>
    <w:multiLevelType w:val="singleLevel"/>
    <w:tmpl w:val="7E5C85D0"/>
    <w:lvl w:ilvl="0" w:tentative="0">
      <w:start w:val="1"/>
      <w:numFmt w:val="lowerLetter"/>
      <w:suff w:val="space"/>
      <w:lvlText w:val="%1）"/>
      <w:lvlJc w:val="left"/>
    </w:lvl>
  </w:abstractNum>
  <w:num w:numId="1">
    <w:abstractNumId w:val="3"/>
  </w:num>
  <w:num w:numId="2">
    <w:abstractNumId w:val="9"/>
  </w:num>
  <w:num w:numId="3">
    <w:abstractNumId w:val="4"/>
  </w:num>
  <w:num w:numId="4">
    <w:abstractNumId w:val="7"/>
  </w:num>
  <w:num w:numId="5">
    <w:abstractNumId w:val="6"/>
  </w:num>
  <w:num w:numId="6">
    <w:abstractNumId w:val="10"/>
  </w:num>
  <w:num w:numId="7">
    <w:abstractNumId w:val="2"/>
  </w:num>
  <w:num w:numId="8">
    <w:abstractNumId w:val="0"/>
  </w:num>
  <w:num w:numId="9">
    <w:abstractNumId w:val="8"/>
  </w:num>
  <w:num w:numId="10">
    <w:abstractNumId w:val="5"/>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4Mzg5ODc3MjM2NmFlMmQwNDA3Njk3OGViNmMwYzIifQ=="/>
  </w:docVars>
  <w:rsids>
    <w:rsidRoot w:val="00035925"/>
    <w:rsid w:val="00000244"/>
    <w:rsid w:val="00000C52"/>
    <w:rsid w:val="0000136A"/>
    <w:rsid w:val="0000153E"/>
    <w:rsid w:val="0000185F"/>
    <w:rsid w:val="00001F7D"/>
    <w:rsid w:val="00004554"/>
    <w:rsid w:val="0000543A"/>
    <w:rsid w:val="0000586F"/>
    <w:rsid w:val="00005A6B"/>
    <w:rsid w:val="00007284"/>
    <w:rsid w:val="000073DA"/>
    <w:rsid w:val="00007B9B"/>
    <w:rsid w:val="000109CE"/>
    <w:rsid w:val="000118F8"/>
    <w:rsid w:val="00011CB8"/>
    <w:rsid w:val="000139A3"/>
    <w:rsid w:val="00013D86"/>
    <w:rsid w:val="00013E02"/>
    <w:rsid w:val="00013FA5"/>
    <w:rsid w:val="000148BF"/>
    <w:rsid w:val="000156D3"/>
    <w:rsid w:val="0001738F"/>
    <w:rsid w:val="000175AD"/>
    <w:rsid w:val="00017D84"/>
    <w:rsid w:val="00017EF5"/>
    <w:rsid w:val="00020157"/>
    <w:rsid w:val="0002143C"/>
    <w:rsid w:val="00022E35"/>
    <w:rsid w:val="00023D9A"/>
    <w:rsid w:val="000241E6"/>
    <w:rsid w:val="0002473D"/>
    <w:rsid w:val="00024F33"/>
    <w:rsid w:val="00025A65"/>
    <w:rsid w:val="00026C31"/>
    <w:rsid w:val="00027280"/>
    <w:rsid w:val="0002769F"/>
    <w:rsid w:val="00027C6A"/>
    <w:rsid w:val="00027DD7"/>
    <w:rsid w:val="0003078A"/>
    <w:rsid w:val="00031719"/>
    <w:rsid w:val="000319EB"/>
    <w:rsid w:val="000320A7"/>
    <w:rsid w:val="00032389"/>
    <w:rsid w:val="00032D4F"/>
    <w:rsid w:val="000341AE"/>
    <w:rsid w:val="00035351"/>
    <w:rsid w:val="00035925"/>
    <w:rsid w:val="0003622F"/>
    <w:rsid w:val="0003626D"/>
    <w:rsid w:val="00036C1A"/>
    <w:rsid w:val="000370F6"/>
    <w:rsid w:val="00040704"/>
    <w:rsid w:val="00041945"/>
    <w:rsid w:val="00041FD8"/>
    <w:rsid w:val="0004229A"/>
    <w:rsid w:val="00042D01"/>
    <w:rsid w:val="00043B9D"/>
    <w:rsid w:val="000440A4"/>
    <w:rsid w:val="00045CC6"/>
    <w:rsid w:val="00046889"/>
    <w:rsid w:val="00046FDA"/>
    <w:rsid w:val="00047543"/>
    <w:rsid w:val="00047E4B"/>
    <w:rsid w:val="000500E6"/>
    <w:rsid w:val="00050CD9"/>
    <w:rsid w:val="00050CF5"/>
    <w:rsid w:val="000521D6"/>
    <w:rsid w:val="00052946"/>
    <w:rsid w:val="00052B7A"/>
    <w:rsid w:val="000539AC"/>
    <w:rsid w:val="00053F88"/>
    <w:rsid w:val="0005453A"/>
    <w:rsid w:val="00055607"/>
    <w:rsid w:val="000576D8"/>
    <w:rsid w:val="0006060F"/>
    <w:rsid w:val="000610E8"/>
    <w:rsid w:val="00061757"/>
    <w:rsid w:val="00062D83"/>
    <w:rsid w:val="0006502B"/>
    <w:rsid w:val="0006568A"/>
    <w:rsid w:val="000659A7"/>
    <w:rsid w:val="00066F46"/>
    <w:rsid w:val="000670AA"/>
    <w:rsid w:val="00067A7A"/>
    <w:rsid w:val="00067CDF"/>
    <w:rsid w:val="00067F57"/>
    <w:rsid w:val="000716DB"/>
    <w:rsid w:val="00071E3B"/>
    <w:rsid w:val="00072708"/>
    <w:rsid w:val="00072DAC"/>
    <w:rsid w:val="000730A9"/>
    <w:rsid w:val="00073BE0"/>
    <w:rsid w:val="00074320"/>
    <w:rsid w:val="000748B7"/>
    <w:rsid w:val="00074BB1"/>
    <w:rsid w:val="00074FBE"/>
    <w:rsid w:val="00075B69"/>
    <w:rsid w:val="00075B7D"/>
    <w:rsid w:val="00075D81"/>
    <w:rsid w:val="00076B9E"/>
    <w:rsid w:val="00077722"/>
    <w:rsid w:val="0007795D"/>
    <w:rsid w:val="00077B10"/>
    <w:rsid w:val="00080032"/>
    <w:rsid w:val="00080091"/>
    <w:rsid w:val="000802E0"/>
    <w:rsid w:val="00082108"/>
    <w:rsid w:val="00082A3E"/>
    <w:rsid w:val="00083474"/>
    <w:rsid w:val="00083A09"/>
    <w:rsid w:val="00083A50"/>
    <w:rsid w:val="000845C3"/>
    <w:rsid w:val="00085313"/>
    <w:rsid w:val="000856FC"/>
    <w:rsid w:val="000863D5"/>
    <w:rsid w:val="00086588"/>
    <w:rsid w:val="00086D14"/>
    <w:rsid w:val="00087091"/>
    <w:rsid w:val="0009005E"/>
    <w:rsid w:val="00090AE3"/>
    <w:rsid w:val="00090D67"/>
    <w:rsid w:val="00091319"/>
    <w:rsid w:val="000917D8"/>
    <w:rsid w:val="00091BDE"/>
    <w:rsid w:val="00092857"/>
    <w:rsid w:val="00092A44"/>
    <w:rsid w:val="0009302E"/>
    <w:rsid w:val="000944F8"/>
    <w:rsid w:val="000957E0"/>
    <w:rsid w:val="000966F9"/>
    <w:rsid w:val="00096D34"/>
    <w:rsid w:val="0009707A"/>
    <w:rsid w:val="000A0F53"/>
    <w:rsid w:val="000A1DC7"/>
    <w:rsid w:val="000A20A9"/>
    <w:rsid w:val="000A2A2E"/>
    <w:rsid w:val="000A31F2"/>
    <w:rsid w:val="000A35DD"/>
    <w:rsid w:val="000A3942"/>
    <w:rsid w:val="000A41BD"/>
    <w:rsid w:val="000A4437"/>
    <w:rsid w:val="000A48B1"/>
    <w:rsid w:val="000A4A3D"/>
    <w:rsid w:val="000A52DD"/>
    <w:rsid w:val="000A53CC"/>
    <w:rsid w:val="000A5969"/>
    <w:rsid w:val="000A659B"/>
    <w:rsid w:val="000A6AB9"/>
    <w:rsid w:val="000B0516"/>
    <w:rsid w:val="000B1C05"/>
    <w:rsid w:val="000B3143"/>
    <w:rsid w:val="000B3488"/>
    <w:rsid w:val="000B45A6"/>
    <w:rsid w:val="000B4E9C"/>
    <w:rsid w:val="000B5CDA"/>
    <w:rsid w:val="000B5E21"/>
    <w:rsid w:val="000B61CA"/>
    <w:rsid w:val="000B680F"/>
    <w:rsid w:val="000B6B3A"/>
    <w:rsid w:val="000B7389"/>
    <w:rsid w:val="000C179F"/>
    <w:rsid w:val="000C1F4D"/>
    <w:rsid w:val="000C293E"/>
    <w:rsid w:val="000C3544"/>
    <w:rsid w:val="000C3688"/>
    <w:rsid w:val="000C4176"/>
    <w:rsid w:val="000C41F4"/>
    <w:rsid w:val="000C44AD"/>
    <w:rsid w:val="000C4660"/>
    <w:rsid w:val="000C56CB"/>
    <w:rsid w:val="000C5889"/>
    <w:rsid w:val="000C6B05"/>
    <w:rsid w:val="000C6DD6"/>
    <w:rsid w:val="000C73D4"/>
    <w:rsid w:val="000C7C70"/>
    <w:rsid w:val="000C7E58"/>
    <w:rsid w:val="000D04BF"/>
    <w:rsid w:val="000D077C"/>
    <w:rsid w:val="000D094F"/>
    <w:rsid w:val="000D1292"/>
    <w:rsid w:val="000D3D4C"/>
    <w:rsid w:val="000D44D0"/>
    <w:rsid w:val="000D4651"/>
    <w:rsid w:val="000D484A"/>
    <w:rsid w:val="000D4F51"/>
    <w:rsid w:val="000D546E"/>
    <w:rsid w:val="000D5B3F"/>
    <w:rsid w:val="000D718B"/>
    <w:rsid w:val="000D7378"/>
    <w:rsid w:val="000D76FE"/>
    <w:rsid w:val="000D7E95"/>
    <w:rsid w:val="000E0C1D"/>
    <w:rsid w:val="000E0C46"/>
    <w:rsid w:val="000E23B8"/>
    <w:rsid w:val="000E3206"/>
    <w:rsid w:val="000E34BC"/>
    <w:rsid w:val="000E3689"/>
    <w:rsid w:val="000E3843"/>
    <w:rsid w:val="000E394E"/>
    <w:rsid w:val="000E3D74"/>
    <w:rsid w:val="000E3D9B"/>
    <w:rsid w:val="000E456F"/>
    <w:rsid w:val="000E4729"/>
    <w:rsid w:val="000E557C"/>
    <w:rsid w:val="000E5855"/>
    <w:rsid w:val="000E6661"/>
    <w:rsid w:val="000E6CF1"/>
    <w:rsid w:val="000E71F4"/>
    <w:rsid w:val="000E728D"/>
    <w:rsid w:val="000E7A72"/>
    <w:rsid w:val="000F030C"/>
    <w:rsid w:val="000F0506"/>
    <w:rsid w:val="000F089C"/>
    <w:rsid w:val="000F129C"/>
    <w:rsid w:val="000F1FEE"/>
    <w:rsid w:val="000F634C"/>
    <w:rsid w:val="000F691E"/>
    <w:rsid w:val="00100672"/>
    <w:rsid w:val="0010072A"/>
    <w:rsid w:val="001014CF"/>
    <w:rsid w:val="00101E8C"/>
    <w:rsid w:val="00102C5F"/>
    <w:rsid w:val="00103282"/>
    <w:rsid w:val="00103574"/>
    <w:rsid w:val="00105119"/>
    <w:rsid w:val="0010525A"/>
    <w:rsid w:val="001056DE"/>
    <w:rsid w:val="00105707"/>
    <w:rsid w:val="001101FD"/>
    <w:rsid w:val="00110444"/>
    <w:rsid w:val="0011110B"/>
    <w:rsid w:val="001111CA"/>
    <w:rsid w:val="001124C0"/>
    <w:rsid w:val="0011453B"/>
    <w:rsid w:val="00117238"/>
    <w:rsid w:val="00120C07"/>
    <w:rsid w:val="00120C42"/>
    <w:rsid w:val="0012269D"/>
    <w:rsid w:val="00122ED2"/>
    <w:rsid w:val="00123AC9"/>
    <w:rsid w:val="00124C8C"/>
    <w:rsid w:val="00125089"/>
    <w:rsid w:val="001259DD"/>
    <w:rsid w:val="00126CC5"/>
    <w:rsid w:val="001270EE"/>
    <w:rsid w:val="00127292"/>
    <w:rsid w:val="00130543"/>
    <w:rsid w:val="0013076C"/>
    <w:rsid w:val="00130E6A"/>
    <w:rsid w:val="0013175F"/>
    <w:rsid w:val="00131795"/>
    <w:rsid w:val="001319E5"/>
    <w:rsid w:val="0013215C"/>
    <w:rsid w:val="001322F2"/>
    <w:rsid w:val="0013497F"/>
    <w:rsid w:val="00134BB1"/>
    <w:rsid w:val="00135333"/>
    <w:rsid w:val="001357C9"/>
    <w:rsid w:val="0013608A"/>
    <w:rsid w:val="001363BC"/>
    <w:rsid w:val="00136794"/>
    <w:rsid w:val="001371A8"/>
    <w:rsid w:val="0013745A"/>
    <w:rsid w:val="00137CAF"/>
    <w:rsid w:val="00137EE9"/>
    <w:rsid w:val="00140709"/>
    <w:rsid w:val="001414FA"/>
    <w:rsid w:val="001418B2"/>
    <w:rsid w:val="0014198B"/>
    <w:rsid w:val="00143317"/>
    <w:rsid w:val="001437D4"/>
    <w:rsid w:val="001441E8"/>
    <w:rsid w:val="00144F30"/>
    <w:rsid w:val="00146FFA"/>
    <w:rsid w:val="001477AD"/>
    <w:rsid w:val="001503FB"/>
    <w:rsid w:val="00150603"/>
    <w:rsid w:val="00150EDD"/>
    <w:rsid w:val="00151051"/>
    <w:rsid w:val="001512B4"/>
    <w:rsid w:val="00153B8F"/>
    <w:rsid w:val="00153C42"/>
    <w:rsid w:val="00153EDC"/>
    <w:rsid w:val="0015425F"/>
    <w:rsid w:val="00156DAE"/>
    <w:rsid w:val="00157A91"/>
    <w:rsid w:val="00161FB0"/>
    <w:rsid w:val="001620A5"/>
    <w:rsid w:val="00162238"/>
    <w:rsid w:val="00162C8C"/>
    <w:rsid w:val="001636E2"/>
    <w:rsid w:val="00163BF4"/>
    <w:rsid w:val="00164388"/>
    <w:rsid w:val="00164E53"/>
    <w:rsid w:val="001653A0"/>
    <w:rsid w:val="00165F72"/>
    <w:rsid w:val="0016699D"/>
    <w:rsid w:val="00171109"/>
    <w:rsid w:val="00172A5E"/>
    <w:rsid w:val="00173033"/>
    <w:rsid w:val="0017401A"/>
    <w:rsid w:val="0017476F"/>
    <w:rsid w:val="00174B14"/>
    <w:rsid w:val="00175159"/>
    <w:rsid w:val="0017574F"/>
    <w:rsid w:val="00176208"/>
    <w:rsid w:val="00176B80"/>
    <w:rsid w:val="00176EB7"/>
    <w:rsid w:val="00177ED9"/>
    <w:rsid w:val="00180DA9"/>
    <w:rsid w:val="001810E1"/>
    <w:rsid w:val="00181C18"/>
    <w:rsid w:val="0018211B"/>
    <w:rsid w:val="00182AAE"/>
    <w:rsid w:val="00182B04"/>
    <w:rsid w:val="001840D3"/>
    <w:rsid w:val="00184B36"/>
    <w:rsid w:val="001852F4"/>
    <w:rsid w:val="00185C0B"/>
    <w:rsid w:val="001860B1"/>
    <w:rsid w:val="00186100"/>
    <w:rsid w:val="001861EB"/>
    <w:rsid w:val="00187287"/>
    <w:rsid w:val="001900F8"/>
    <w:rsid w:val="00190CED"/>
    <w:rsid w:val="00190E53"/>
    <w:rsid w:val="00191258"/>
    <w:rsid w:val="001917B4"/>
    <w:rsid w:val="0019184E"/>
    <w:rsid w:val="00192680"/>
    <w:rsid w:val="00193037"/>
    <w:rsid w:val="0019304C"/>
    <w:rsid w:val="00193A2C"/>
    <w:rsid w:val="00193CD1"/>
    <w:rsid w:val="00193E64"/>
    <w:rsid w:val="00194805"/>
    <w:rsid w:val="00194FDD"/>
    <w:rsid w:val="0019625C"/>
    <w:rsid w:val="00197121"/>
    <w:rsid w:val="001A0828"/>
    <w:rsid w:val="001A109D"/>
    <w:rsid w:val="001A1879"/>
    <w:rsid w:val="001A1A43"/>
    <w:rsid w:val="001A288E"/>
    <w:rsid w:val="001A37D5"/>
    <w:rsid w:val="001A52B3"/>
    <w:rsid w:val="001A5855"/>
    <w:rsid w:val="001A60C3"/>
    <w:rsid w:val="001A60F0"/>
    <w:rsid w:val="001A642F"/>
    <w:rsid w:val="001A6703"/>
    <w:rsid w:val="001A6A8C"/>
    <w:rsid w:val="001A6FF5"/>
    <w:rsid w:val="001A7AAD"/>
    <w:rsid w:val="001A7E64"/>
    <w:rsid w:val="001B0D07"/>
    <w:rsid w:val="001B0E6B"/>
    <w:rsid w:val="001B0FD6"/>
    <w:rsid w:val="001B28B1"/>
    <w:rsid w:val="001B2962"/>
    <w:rsid w:val="001B3274"/>
    <w:rsid w:val="001B328D"/>
    <w:rsid w:val="001B35CC"/>
    <w:rsid w:val="001B3C90"/>
    <w:rsid w:val="001B42B6"/>
    <w:rsid w:val="001B43FC"/>
    <w:rsid w:val="001B501B"/>
    <w:rsid w:val="001B539E"/>
    <w:rsid w:val="001B5E12"/>
    <w:rsid w:val="001B6DC2"/>
    <w:rsid w:val="001B75C2"/>
    <w:rsid w:val="001B79E0"/>
    <w:rsid w:val="001C0C53"/>
    <w:rsid w:val="001C0E71"/>
    <w:rsid w:val="001C149C"/>
    <w:rsid w:val="001C21AC"/>
    <w:rsid w:val="001C33AD"/>
    <w:rsid w:val="001C46A0"/>
    <w:rsid w:val="001C47BA"/>
    <w:rsid w:val="001C50BE"/>
    <w:rsid w:val="001C58AC"/>
    <w:rsid w:val="001C59EA"/>
    <w:rsid w:val="001D0131"/>
    <w:rsid w:val="001D052E"/>
    <w:rsid w:val="001D1B50"/>
    <w:rsid w:val="001D1F1D"/>
    <w:rsid w:val="001D3945"/>
    <w:rsid w:val="001D3C35"/>
    <w:rsid w:val="001D406C"/>
    <w:rsid w:val="001D4160"/>
    <w:rsid w:val="001D41EE"/>
    <w:rsid w:val="001D56CC"/>
    <w:rsid w:val="001D663D"/>
    <w:rsid w:val="001D665E"/>
    <w:rsid w:val="001D7635"/>
    <w:rsid w:val="001E0380"/>
    <w:rsid w:val="001E0D38"/>
    <w:rsid w:val="001E13B1"/>
    <w:rsid w:val="001E14B0"/>
    <w:rsid w:val="001E1732"/>
    <w:rsid w:val="001E1EA5"/>
    <w:rsid w:val="001E1F24"/>
    <w:rsid w:val="001E2077"/>
    <w:rsid w:val="001E2B4D"/>
    <w:rsid w:val="001E3DF9"/>
    <w:rsid w:val="001E418B"/>
    <w:rsid w:val="001E51DE"/>
    <w:rsid w:val="001E5F36"/>
    <w:rsid w:val="001E676C"/>
    <w:rsid w:val="001E68DE"/>
    <w:rsid w:val="001E6B98"/>
    <w:rsid w:val="001E6D5F"/>
    <w:rsid w:val="001E7704"/>
    <w:rsid w:val="001E7753"/>
    <w:rsid w:val="001F1AEE"/>
    <w:rsid w:val="001F2D9D"/>
    <w:rsid w:val="001F31A1"/>
    <w:rsid w:val="001F35B4"/>
    <w:rsid w:val="001F3A19"/>
    <w:rsid w:val="001F3C88"/>
    <w:rsid w:val="001F46BE"/>
    <w:rsid w:val="001F4ED6"/>
    <w:rsid w:val="001F5280"/>
    <w:rsid w:val="001F53BA"/>
    <w:rsid w:val="001F5FC0"/>
    <w:rsid w:val="001F7940"/>
    <w:rsid w:val="00200A49"/>
    <w:rsid w:val="00200E3A"/>
    <w:rsid w:val="002013DE"/>
    <w:rsid w:val="002017B8"/>
    <w:rsid w:val="0020214D"/>
    <w:rsid w:val="0020223A"/>
    <w:rsid w:val="00203325"/>
    <w:rsid w:val="00203347"/>
    <w:rsid w:val="00203A7C"/>
    <w:rsid w:val="00204288"/>
    <w:rsid w:val="0020437D"/>
    <w:rsid w:val="00204CBD"/>
    <w:rsid w:val="002059F9"/>
    <w:rsid w:val="00205B7A"/>
    <w:rsid w:val="00205F52"/>
    <w:rsid w:val="0020625C"/>
    <w:rsid w:val="002105A5"/>
    <w:rsid w:val="002106BE"/>
    <w:rsid w:val="002109A9"/>
    <w:rsid w:val="00211E9C"/>
    <w:rsid w:val="002120BC"/>
    <w:rsid w:val="0021257B"/>
    <w:rsid w:val="0021590E"/>
    <w:rsid w:val="0021614F"/>
    <w:rsid w:val="00220CD4"/>
    <w:rsid w:val="00221663"/>
    <w:rsid w:val="00222700"/>
    <w:rsid w:val="0022298D"/>
    <w:rsid w:val="00223030"/>
    <w:rsid w:val="002237C8"/>
    <w:rsid w:val="002243D1"/>
    <w:rsid w:val="00224EE1"/>
    <w:rsid w:val="00224F96"/>
    <w:rsid w:val="002271C5"/>
    <w:rsid w:val="00227453"/>
    <w:rsid w:val="0023213A"/>
    <w:rsid w:val="002328D1"/>
    <w:rsid w:val="00232F4E"/>
    <w:rsid w:val="00233D4D"/>
    <w:rsid w:val="00234467"/>
    <w:rsid w:val="002347E5"/>
    <w:rsid w:val="0023657C"/>
    <w:rsid w:val="0023668F"/>
    <w:rsid w:val="00237474"/>
    <w:rsid w:val="00237676"/>
    <w:rsid w:val="00237D21"/>
    <w:rsid w:val="00237D8D"/>
    <w:rsid w:val="00240ED8"/>
    <w:rsid w:val="00241DA2"/>
    <w:rsid w:val="00241F90"/>
    <w:rsid w:val="0024284B"/>
    <w:rsid w:val="00242B47"/>
    <w:rsid w:val="002431F9"/>
    <w:rsid w:val="00243ADC"/>
    <w:rsid w:val="00245C0A"/>
    <w:rsid w:val="002464B5"/>
    <w:rsid w:val="00246FB1"/>
    <w:rsid w:val="002476A6"/>
    <w:rsid w:val="00247E57"/>
    <w:rsid w:val="00247FEE"/>
    <w:rsid w:val="00250E7D"/>
    <w:rsid w:val="002516B0"/>
    <w:rsid w:val="00253093"/>
    <w:rsid w:val="00254D5E"/>
    <w:rsid w:val="00255F53"/>
    <w:rsid w:val="002565D5"/>
    <w:rsid w:val="0025725A"/>
    <w:rsid w:val="00260238"/>
    <w:rsid w:val="00261F14"/>
    <w:rsid w:val="002622C0"/>
    <w:rsid w:val="002636CA"/>
    <w:rsid w:val="00263980"/>
    <w:rsid w:val="002643CF"/>
    <w:rsid w:val="00264722"/>
    <w:rsid w:val="00264913"/>
    <w:rsid w:val="00265299"/>
    <w:rsid w:val="00266576"/>
    <w:rsid w:val="00266583"/>
    <w:rsid w:val="00266B3C"/>
    <w:rsid w:val="00267D73"/>
    <w:rsid w:val="00267F8C"/>
    <w:rsid w:val="0027359F"/>
    <w:rsid w:val="002744D4"/>
    <w:rsid w:val="00274D55"/>
    <w:rsid w:val="0027546D"/>
    <w:rsid w:val="002754B4"/>
    <w:rsid w:val="00276B6C"/>
    <w:rsid w:val="00277491"/>
    <w:rsid w:val="002778AE"/>
    <w:rsid w:val="00280DA5"/>
    <w:rsid w:val="0028269A"/>
    <w:rsid w:val="002829A7"/>
    <w:rsid w:val="00282AA9"/>
    <w:rsid w:val="00282D3F"/>
    <w:rsid w:val="00282E74"/>
    <w:rsid w:val="00283590"/>
    <w:rsid w:val="002847CF"/>
    <w:rsid w:val="00284B04"/>
    <w:rsid w:val="00285039"/>
    <w:rsid w:val="002860DB"/>
    <w:rsid w:val="00286973"/>
    <w:rsid w:val="002909CE"/>
    <w:rsid w:val="002919A3"/>
    <w:rsid w:val="00291E3A"/>
    <w:rsid w:val="002928DA"/>
    <w:rsid w:val="00294E70"/>
    <w:rsid w:val="0029514C"/>
    <w:rsid w:val="00297B7B"/>
    <w:rsid w:val="00297DCF"/>
    <w:rsid w:val="002A042A"/>
    <w:rsid w:val="002A04EA"/>
    <w:rsid w:val="002A0F90"/>
    <w:rsid w:val="002A107E"/>
    <w:rsid w:val="002A1924"/>
    <w:rsid w:val="002A1DC7"/>
    <w:rsid w:val="002A33D9"/>
    <w:rsid w:val="002A3971"/>
    <w:rsid w:val="002A397A"/>
    <w:rsid w:val="002A5696"/>
    <w:rsid w:val="002A683B"/>
    <w:rsid w:val="002A7420"/>
    <w:rsid w:val="002A7571"/>
    <w:rsid w:val="002B0F12"/>
    <w:rsid w:val="002B1035"/>
    <w:rsid w:val="002B1308"/>
    <w:rsid w:val="002B2057"/>
    <w:rsid w:val="002B3107"/>
    <w:rsid w:val="002B4554"/>
    <w:rsid w:val="002B4AF7"/>
    <w:rsid w:val="002B5533"/>
    <w:rsid w:val="002B59F2"/>
    <w:rsid w:val="002B745C"/>
    <w:rsid w:val="002B7804"/>
    <w:rsid w:val="002B78BF"/>
    <w:rsid w:val="002C01DD"/>
    <w:rsid w:val="002C08DD"/>
    <w:rsid w:val="002C22AA"/>
    <w:rsid w:val="002C37A3"/>
    <w:rsid w:val="002C43E0"/>
    <w:rsid w:val="002C44AC"/>
    <w:rsid w:val="002C4808"/>
    <w:rsid w:val="002C4A9E"/>
    <w:rsid w:val="002C5A74"/>
    <w:rsid w:val="002C5D40"/>
    <w:rsid w:val="002C68C4"/>
    <w:rsid w:val="002C72D8"/>
    <w:rsid w:val="002D11FA"/>
    <w:rsid w:val="002D1C24"/>
    <w:rsid w:val="002D251B"/>
    <w:rsid w:val="002D29CB"/>
    <w:rsid w:val="002D30F6"/>
    <w:rsid w:val="002D6378"/>
    <w:rsid w:val="002D7233"/>
    <w:rsid w:val="002D7803"/>
    <w:rsid w:val="002D7BEB"/>
    <w:rsid w:val="002E0DDF"/>
    <w:rsid w:val="002E21DB"/>
    <w:rsid w:val="002E25DF"/>
    <w:rsid w:val="002E2849"/>
    <w:rsid w:val="002E2906"/>
    <w:rsid w:val="002E3205"/>
    <w:rsid w:val="002E3825"/>
    <w:rsid w:val="002E42F1"/>
    <w:rsid w:val="002E43F7"/>
    <w:rsid w:val="002E52F1"/>
    <w:rsid w:val="002E5348"/>
    <w:rsid w:val="002E5635"/>
    <w:rsid w:val="002E5788"/>
    <w:rsid w:val="002E64C3"/>
    <w:rsid w:val="002E6698"/>
    <w:rsid w:val="002E6A2C"/>
    <w:rsid w:val="002F0CAD"/>
    <w:rsid w:val="002F12EA"/>
    <w:rsid w:val="002F1ADC"/>
    <w:rsid w:val="002F1C5B"/>
    <w:rsid w:val="002F1C7F"/>
    <w:rsid w:val="002F1D8C"/>
    <w:rsid w:val="002F21DA"/>
    <w:rsid w:val="002F2584"/>
    <w:rsid w:val="002F266C"/>
    <w:rsid w:val="002F60FB"/>
    <w:rsid w:val="002F70B0"/>
    <w:rsid w:val="00300236"/>
    <w:rsid w:val="00301617"/>
    <w:rsid w:val="00301F39"/>
    <w:rsid w:val="0030386C"/>
    <w:rsid w:val="003044C4"/>
    <w:rsid w:val="0030466D"/>
    <w:rsid w:val="00304CF1"/>
    <w:rsid w:val="0030503E"/>
    <w:rsid w:val="003053E3"/>
    <w:rsid w:val="00306CB7"/>
    <w:rsid w:val="00307C83"/>
    <w:rsid w:val="00307CA1"/>
    <w:rsid w:val="00310154"/>
    <w:rsid w:val="00310A67"/>
    <w:rsid w:val="00310D88"/>
    <w:rsid w:val="00310F4F"/>
    <w:rsid w:val="003128AC"/>
    <w:rsid w:val="003129D1"/>
    <w:rsid w:val="00312BF1"/>
    <w:rsid w:val="00312C42"/>
    <w:rsid w:val="00313614"/>
    <w:rsid w:val="00314DF6"/>
    <w:rsid w:val="00315018"/>
    <w:rsid w:val="00315D93"/>
    <w:rsid w:val="00317315"/>
    <w:rsid w:val="003175AD"/>
    <w:rsid w:val="0032005F"/>
    <w:rsid w:val="00323393"/>
    <w:rsid w:val="00324918"/>
    <w:rsid w:val="00325678"/>
    <w:rsid w:val="00325690"/>
    <w:rsid w:val="00325926"/>
    <w:rsid w:val="00326F39"/>
    <w:rsid w:val="00327158"/>
    <w:rsid w:val="003272AF"/>
    <w:rsid w:val="00327A8A"/>
    <w:rsid w:val="00330255"/>
    <w:rsid w:val="0033221B"/>
    <w:rsid w:val="00332D39"/>
    <w:rsid w:val="0033337D"/>
    <w:rsid w:val="003335E7"/>
    <w:rsid w:val="0033362E"/>
    <w:rsid w:val="003336C6"/>
    <w:rsid w:val="00335325"/>
    <w:rsid w:val="0033555F"/>
    <w:rsid w:val="003359C1"/>
    <w:rsid w:val="003365F3"/>
    <w:rsid w:val="00336610"/>
    <w:rsid w:val="0033701D"/>
    <w:rsid w:val="00340D88"/>
    <w:rsid w:val="00341C29"/>
    <w:rsid w:val="00341D19"/>
    <w:rsid w:val="00342BB3"/>
    <w:rsid w:val="00343A3A"/>
    <w:rsid w:val="00343D3C"/>
    <w:rsid w:val="00343F73"/>
    <w:rsid w:val="0034406F"/>
    <w:rsid w:val="00344559"/>
    <w:rsid w:val="00345060"/>
    <w:rsid w:val="00345596"/>
    <w:rsid w:val="00345ECC"/>
    <w:rsid w:val="00346597"/>
    <w:rsid w:val="003471A9"/>
    <w:rsid w:val="00347C2C"/>
    <w:rsid w:val="003504FB"/>
    <w:rsid w:val="00350562"/>
    <w:rsid w:val="00350BB7"/>
    <w:rsid w:val="003516FB"/>
    <w:rsid w:val="00351AA6"/>
    <w:rsid w:val="00351D97"/>
    <w:rsid w:val="00351E8E"/>
    <w:rsid w:val="0035300D"/>
    <w:rsid w:val="0035323B"/>
    <w:rsid w:val="00353CB5"/>
    <w:rsid w:val="0035428F"/>
    <w:rsid w:val="0035599B"/>
    <w:rsid w:val="00355C41"/>
    <w:rsid w:val="00356949"/>
    <w:rsid w:val="00356E52"/>
    <w:rsid w:val="00357922"/>
    <w:rsid w:val="00360136"/>
    <w:rsid w:val="00360727"/>
    <w:rsid w:val="0036076F"/>
    <w:rsid w:val="003609D2"/>
    <w:rsid w:val="00360EC5"/>
    <w:rsid w:val="003622DE"/>
    <w:rsid w:val="00363171"/>
    <w:rsid w:val="003631D1"/>
    <w:rsid w:val="00363F22"/>
    <w:rsid w:val="003645C6"/>
    <w:rsid w:val="00364D01"/>
    <w:rsid w:val="00364D51"/>
    <w:rsid w:val="003658A1"/>
    <w:rsid w:val="0036642F"/>
    <w:rsid w:val="00366BDB"/>
    <w:rsid w:val="00367113"/>
    <w:rsid w:val="003672A7"/>
    <w:rsid w:val="00370EF2"/>
    <w:rsid w:val="0037158D"/>
    <w:rsid w:val="003752F1"/>
    <w:rsid w:val="00375564"/>
    <w:rsid w:val="0037610D"/>
    <w:rsid w:val="003769C0"/>
    <w:rsid w:val="00376A8D"/>
    <w:rsid w:val="00381D18"/>
    <w:rsid w:val="00383191"/>
    <w:rsid w:val="0038425B"/>
    <w:rsid w:val="00384462"/>
    <w:rsid w:val="003847EA"/>
    <w:rsid w:val="003858B9"/>
    <w:rsid w:val="00385CCD"/>
    <w:rsid w:val="00386038"/>
    <w:rsid w:val="00386DED"/>
    <w:rsid w:val="00387059"/>
    <w:rsid w:val="003878F7"/>
    <w:rsid w:val="00387C2E"/>
    <w:rsid w:val="003912E7"/>
    <w:rsid w:val="003919EF"/>
    <w:rsid w:val="00391DCB"/>
    <w:rsid w:val="00391F28"/>
    <w:rsid w:val="00392F38"/>
    <w:rsid w:val="00393947"/>
    <w:rsid w:val="0039422B"/>
    <w:rsid w:val="0039461F"/>
    <w:rsid w:val="00394DEF"/>
    <w:rsid w:val="0039588A"/>
    <w:rsid w:val="00395BB5"/>
    <w:rsid w:val="00396834"/>
    <w:rsid w:val="00396E57"/>
    <w:rsid w:val="00397BDA"/>
    <w:rsid w:val="00397D88"/>
    <w:rsid w:val="003A1133"/>
    <w:rsid w:val="003A1BC0"/>
    <w:rsid w:val="003A1D14"/>
    <w:rsid w:val="003A1E97"/>
    <w:rsid w:val="003A21EA"/>
    <w:rsid w:val="003A2275"/>
    <w:rsid w:val="003A2465"/>
    <w:rsid w:val="003A2C02"/>
    <w:rsid w:val="003A3222"/>
    <w:rsid w:val="003A3884"/>
    <w:rsid w:val="003A4190"/>
    <w:rsid w:val="003A510B"/>
    <w:rsid w:val="003A59A1"/>
    <w:rsid w:val="003A6869"/>
    <w:rsid w:val="003A6A4F"/>
    <w:rsid w:val="003A7088"/>
    <w:rsid w:val="003A7E90"/>
    <w:rsid w:val="003B00DF"/>
    <w:rsid w:val="003B1275"/>
    <w:rsid w:val="003B1778"/>
    <w:rsid w:val="003B28E2"/>
    <w:rsid w:val="003B2E96"/>
    <w:rsid w:val="003B2F6F"/>
    <w:rsid w:val="003B30D8"/>
    <w:rsid w:val="003B3900"/>
    <w:rsid w:val="003B3F48"/>
    <w:rsid w:val="003B46F1"/>
    <w:rsid w:val="003B501B"/>
    <w:rsid w:val="003B5CB1"/>
    <w:rsid w:val="003B7227"/>
    <w:rsid w:val="003C11CB"/>
    <w:rsid w:val="003C1E8F"/>
    <w:rsid w:val="003C2B55"/>
    <w:rsid w:val="003C3422"/>
    <w:rsid w:val="003C4270"/>
    <w:rsid w:val="003C4731"/>
    <w:rsid w:val="003C4965"/>
    <w:rsid w:val="003C49A6"/>
    <w:rsid w:val="003C5261"/>
    <w:rsid w:val="003C5EA8"/>
    <w:rsid w:val="003C5F77"/>
    <w:rsid w:val="003C5FAD"/>
    <w:rsid w:val="003C75F3"/>
    <w:rsid w:val="003C76C1"/>
    <w:rsid w:val="003C78A3"/>
    <w:rsid w:val="003C7B25"/>
    <w:rsid w:val="003D0637"/>
    <w:rsid w:val="003D1A5D"/>
    <w:rsid w:val="003D20E7"/>
    <w:rsid w:val="003D280A"/>
    <w:rsid w:val="003D787F"/>
    <w:rsid w:val="003E037E"/>
    <w:rsid w:val="003E04DD"/>
    <w:rsid w:val="003E1058"/>
    <w:rsid w:val="003E11CF"/>
    <w:rsid w:val="003E1867"/>
    <w:rsid w:val="003E1E1E"/>
    <w:rsid w:val="003E234F"/>
    <w:rsid w:val="003E2507"/>
    <w:rsid w:val="003E25FD"/>
    <w:rsid w:val="003E4572"/>
    <w:rsid w:val="003E470A"/>
    <w:rsid w:val="003E49FF"/>
    <w:rsid w:val="003E4ACD"/>
    <w:rsid w:val="003E5729"/>
    <w:rsid w:val="003E7449"/>
    <w:rsid w:val="003E7DB8"/>
    <w:rsid w:val="003F027E"/>
    <w:rsid w:val="003F0D8B"/>
    <w:rsid w:val="003F1798"/>
    <w:rsid w:val="003F22AF"/>
    <w:rsid w:val="003F245A"/>
    <w:rsid w:val="003F3851"/>
    <w:rsid w:val="003F4881"/>
    <w:rsid w:val="003F4E70"/>
    <w:rsid w:val="003F4EE0"/>
    <w:rsid w:val="003F5516"/>
    <w:rsid w:val="003F5F29"/>
    <w:rsid w:val="003F63F8"/>
    <w:rsid w:val="003F6470"/>
    <w:rsid w:val="003F7190"/>
    <w:rsid w:val="003F765C"/>
    <w:rsid w:val="003F7F10"/>
    <w:rsid w:val="00400BD4"/>
    <w:rsid w:val="004020C0"/>
    <w:rsid w:val="00402153"/>
    <w:rsid w:val="00402FC1"/>
    <w:rsid w:val="004035E6"/>
    <w:rsid w:val="00403C89"/>
    <w:rsid w:val="00403D40"/>
    <w:rsid w:val="00403F64"/>
    <w:rsid w:val="004045D8"/>
    <w:rsid w:val="004049D3"/>
    <w:rsid w:val="00407961"/>
    <w:rsid w:val="0041065D"/>
    <w:rsid w:val="00410765"/>
    <w:rsid w:val="0041164F"/>
    <w:rsid w:val="004117A9"/>
    <w:rsid w:val="00411825"/>
    <w:rsid w:val="004130E3"/>
    <w:rsid w:val="004135CD"/>
    <w:rsid w:val="00414228"/>
    <w:rsid w:val="00414C7E"/>
    <w:rsid w:val="00415565"/>
    <w:rsid w:val="00416321"/>
    <w:rsid w:val="00416812"/>
    <w:rsid w:val="00416A9B"/>
    <w:rsid w:val="00417677"/>
    <w:rsid w:val="00417A71"/>
    <w:rsid w:val="00417AE3"/>
    <w:rsid w:val="004228A7"/>
    <w:rsid w:val="00422D30"/>
    <w:rsid w:val="00424274"/>
    <w:rsid w:val="0042504E"/>
    <w:rsid w:val="00425082"/>
    <w:rsid w:val="00425638"/>
    <w:rsid w:val="00426C8C"/>
    <w:rsid w:val="00427221"/>
    <w:rsid w:val="00427807"/>
    <w:rsid w:val="00427B08"/>
    <w:rsid w:val="00427E72"/>
    <w:rsid w:val="004310C3"/>
    <w:rsid w:val="00431DEB"/>
    <w:rsid w:val="00433C24"/>
    <w:rsid w:val="00433CDE"/>
    <w:rsid w:val="00433E7E"/>
    <w:rsid w:val="004342C4"/>
    <w:rsid w:val="00434734"/>
    <w:rsid w:val="004356AC"/>
    <w:rsid w:val="0043766D"/>
    <w:rsid w:val="004377D6"/>
    <w:rsid w:val="00440EAA"/>
    <w:rsid w:val="00441E21"/>
    <w:rsid w:val="0044376C"/>
    <w:rsid w:val="00443C37"/>
    <w:rsid w:val="00444183"/>
    <w:rsid w:val="00444730"/>
    <w:rsid w:val="00444D46"/>
    <w:rsid w:val="00445621"/>
    <w:rsid w:val="004459CD"/>
    <w:rsid w:val="004461A5"/>
    <w:rsid w:val="00446311"/>
    <w:rsid w:val="00446B29"/>
    <w:rsid w:val="004476FC"/>
    <w:rsid w:val="004500CD"/>
    <w:rsid w:val="0045103D"/>
    <w:rsid w:val="00451AB9"/>
    <w:rsid w:val="004534AB"/>
    <w:rsid w:val="00453F9A"/>
    <w:rsid w:val="004543EB"/>
    <w:rsid w:val="00454F92"/>
    <w:rsid w:val="00456505"/>
    <w:rsid w:val="004565EF"/>
    <w:rsid w:val="00457027"/>
    <w:rsid w:val="004572C8"/>
    <w:rsid w:val="004601CE"/>
    <w:rsid w:val="0046100E"/>
    <w:rsid w:val="00461186"/>
    <w:rsid w:val="00461AED"/>
    <w:rsid w:val="00462328"/>
    <w:rsid w:val="00462624"/>
    <w:rsid w:val="00462A2B"/>
    <w:rsid w:val="00464475"/>
    <w:rsid w:val="0046487B"/>
    <w:rsid w:val="0046639A"/>
    <w:rsid w:val="0046649A"/>
    <w:rsid w:val="0046681C"/>
    <w:rsid w:val="004671AF"/>
    <w:rsid w:val="00470451"/>
    <w:rsid w:val="00470A30"/>
    <w:rsid w:val="00471149"/>
    <w:rsid w:val="00471E91"/>
    <w:rsid w:val="00472D9E"/>
    <w:rsid w:val="00472E12"/>
    <w:rsid w:val="004738DE"/>
    <w:rsid w:val="004743CC"/>
    <w:rsid w:val="00474675"/>
    <w:rsid w:val="0047470C"/>
    <w:rsid w:val="00476B45"/>
    <w:rsid w:val="004813FA"/>
    <w:rsid w:val="00481F77"/>
    <w:rsid w:val="0048250D"/>
    <w:rsid w:val="00482AFF"/>
    <w:rsid w:val="00482CDF"/>
    <w:rsid w:val="00483105"/>
    <w:rsid w:val="004832E9"/>
    <w:rsid w:val="0048362D"/>
    <w:rsid w:val="00484503"/>
    <w:rsid w:val="004858DB"/>
    <w:rsid w:val="00485AC1"/>
    <w:rsid w:val="004863DF"/>
    <w:rsid w:val="004863F3"/>
    <w:rsid w:val="00486DFF"/>
    <w:rsid w:val="00490946"/>
    <w:rsid w:val="00492F69"/>
    <w:rsid w:val="004931E6"/>
    <w:rsid w:val="00493E6D"/>
    <w:rsid w:val="004948B0"/>
    <w:rsid w:val="004954AA"/>
    <w:rsid w:val="0049584D"/>
    <w:rsid w:val="00496A2A"/>
    <w:rsid w:val="0049704E"/>
    <w:rsid w:val="004A1ACE"/>
    <w:rsid w:val="004A1B03"/>
    <w:rsid w:val="004A279B"/>
    <w:rsid w:val="004A2AC1"/>
    <w:rsid w:val="004A2CAD"/>
    <w:rsid w:val="004A3077"/>
    <w:rsid w:val="004A3277"/>
    <w:rsid w:val="004A35F9"/>
    <w:rsid w:val="004A3BD8"/>
    <w:rsid w:val="004A3C0E"/>
    <w:rsid w:val="004A3D07"/>
    <w:rsid w:val="004A4441"/>
    <w:rsid w:val="004A5139"/>
    <w:rsid w:val="004A60A3"/>
    <w:rsid w:val="004A629D"/>
    <w:rsid w:val="004A687D"/>
    <w:rsid w:val="004B0E5D"/>
    <w:rsid w:val="004B125E"/>
    <w:rsid w:val="004B24C1"/>
    <w:rsid w:val="004B268C"/>
    <w:rsid w:val="004B2E4B"/>
    <w:rsid w:val="004B5AAD"/>
    <w:rsid w:val="004B723F"/>
    <w:rsid w:val="004B748B"/>
    <w:rsid w:val="004B7FA3"/>
    <w:rsid w:val="004C0267"/>
    <w:rsid w:val="004C099A"/>
    <w:rsid w:val="004C0FBE"/>
    <w:rsid w:val="004C1771"/>
    <w:rsid w:val="004C1D31"/>
    <w:rsid w:val="004C2475"/>
    <w:rsid w:val="004C292F"/>
    <w:rsid w:val="004C2C06"/>
    <w:rsid w:val="004C38CA"/>
    <w:rsid w:val="004C3F5D"/>
    <w:rsid w:val="004C4A2A"/>
    <w:rsid w:val="004C4AD4"/>
    <w:rsid w:val="004C4FB6"/>
    <w:rsid w:val="004C52B2"/>
    <w:rsid w:val="004C630B"/>
    <w:rsid w:val="004D0494"/>
    <w:rsid w:val="004D1AA8"/>
    <w:rsid w:val="004D1BD6"/>
    <w:rsid w:val="004D3354"/>
    <w:rsid w:val="004D40BE"/>
    <w:rsid w:val="004D4103"/>
    <w:rsid w:val="004D4AE7"/>
    <w:rsid w:val="004D4EFF"/>
    <w:rsid w:val="004D592A"/>
    <w:rsid w:val="004D61CA"/>
    <w:rsid w:val="004D6BE3"/>
    <w:rsid w:val="004D6FAB"/>
    <w:rsid w:val="004D7E52"/>
    <w:rsid w:val="004E1264"/>
    <w:rsid w:val="004E13CA"/>
    <w:rsid w:val="004E1A9A"/>
    <w:rsid w:val="004E1B0D"/>
    <w:rsid w:val="004E31A3"/>
    <w:rsid w:val="004E395E"/>
    <w:rsid w:val="004E3DE3"/>
    <w:rsid w:val="004E779D"/>
    <w:rsid w:val="004F016E"/>
    <w:rsid w:val="004F224E"/>
    <w:rsid w:val="004F2DE7"/>
    <w:rsid w:val="004F4F43"/>
    <w:rsid w:val="004F5C37"/>
    <w:rsid w:val="004F6227"/>
    <w:rsid w:val="004F624C"/>
    <w:rsid w:val="004F69AA"/>
    <w:rsid w:val="004F6D7A"/>
    <w:rsid w:val="00500C74"/>
    <w:rsid w:val="00501232"/>
    <w:rsid w:val="0050215E"/>
    <w:rsid w:val="00502BC6"/>
    <w:rsid w:val="0050318D"/>
    <w:rsid w:val="0050361C"/>
    <w:rsid w:val="005046AA"/>
    <w:rsid w:val="00505284"/>
    <w:rsid w:val="00506494"/>
    <w:rsid w:val="0050766E"/>
    <w:rsid w:val="00510280"/>
    <w:rsid w:val="005105C1"/>
    <w:rsid w:val="00511094"/>
    <w:rsid w:val="005112CB"/>
    <w:rsid w:val="005114F5"/>
    <w:rsid w:val="00513D73"/>
    <w:rsid w:val="0051460A"/>
    <w:rsid w:val="00514A43"/>
    <w:rsid w:val="00514A58"/>
    <w:rsid w:val="00515E2D"/>
    <w:rsid w:val="00516EED"/>
    <w:rsid w:val="005174E5"/>
    <w:rsid w:val="00520435"/>
    <w:rsid w:val="00520523"/>
    <w:rsid w:val="0052126E"/>
    <w:rsid w:val="005215ED"/>
    <w:rsid w:val="00522393"/>
    <w:rsid w:val="00522620"/>
    <w:rsid w:val="005229D6"/>
    <w:rsid w:val="0052325C"/>
    <w:rsid w:val="0052353D"/>
    <w:rsid w:val="005236DF"/>
    <w:rsid w:val="00523739"/>
    <w:rsid w:val="00523A71"/>
    <w:rsid w:val="005245B1"/>
    <w:rsid w:val="00525656"/>
    <w:rsid w:val="00526B69"/>
    <w:rsid w:val="005306F1"/>
    <w:rsid w:val="005307B5"/>
    <w:rsid w:val="00530B39"/>
    <w:rsid w:val="0053100F"/>
    <w:rsid w:val="00531AB8"/>
    <w:rsid w:val="00532296"/>
    <w:rsid w:val="0053278C"/>
    <w:rsid w:val="00532F12"/>
    <w:rsid w:val="00532FEB"/>
    <w:rsid w:val="005331C9"/>
    <w:rsid w:val="0053340A"/>
    <w:rsid w:val="0053379A"/>
    <w:rsid w:val="00533991"/>
    <w:rsid w:val="005345E6"/>
    <w:rsid w:val="00534C02"/>
    <w:rsid w:val="005377A9"/>
    <w:rsid w:val="00537C88"/>
    <w:rsid w:val="0054003A"/>
    <w:rsid w:val="005406BA"/>
    <w:rsid w:val="00540F7C"/>
    <w:rsid w:val="0054264B"/>
    <w:rsid w:val="00543127"/>
    <w:rsid w:val="00543786"/>
    <w:rsid w:val="00544D21"/>
    <w:rsid w:val="00544EEC"/>
    <w:rsid w:val="00545942"/>
    <w:rsid w:val="00545B29"/>
    <w:rsid w:val="00545D30"/>
    <w:rsid w:val="00546538"/>
    <w:rsid w:val="005466BF"/>
    <w:rsid w:val="00546FA3"/>
    <w:rsid w:val="005470CF"/>
    <w:rsid w:val="00547FCD"/>
    <w:rsid w:val="005500F3"/>
    <w:rsid w:val="005508AD"/>
    <w:rsid w:val="00550E58"/>
    <w:rsid w:val="005533D7"/>
    <w:rsid w:val="0055354A"/>
    <w:rsid w:val="00554F56"/>
    <w:rsid w:val="005579E9"/>
    <w:rsid w:val="0056114B"/>
    <w:rsid w:val="0056115B"/>
    <w:rsid w:val="005617BC"/>
    <w:rsid w:val="0056180C"/>
    <w:rsid w:val="00561A06"/>
    <w:rsid w:val="005628E5"/>
    <w:rsid w:val="00562940"/>
    <w:rsid w:val="00563FDC"/>
    <w:rsid w:val="00564728"/>
    <w:rsid w:val="00564DB7"/>
    <w:rsid w:val="00565E52"/>
    <w:rsid w:val="00567308"/>
    <w:rsid w:val="005674E5"/>
    <w:rsid w:val="00567A59"/>
    <w:rsid w:val="00567DB8"/>
    <w:rsid w:val="005703DE"/>
    <w:rsid w:val="005706FB"/>
    <w:rsid w:val="00571647"/>
    <w:rsid w:val="00571D49"/>
    <w:rsid w:val="0057256B"/>
    <w:rsid w:val="005725AC"/>
    <w:rsid w:val="005742C4"/>
    <w:rsid w:val="005749B0"/>
    <w:rsid w:val="005749D4"/>
    <w:rsid w:val="005750DD"/>
    <w:rsid w:val="00575DDF"/>
    <w:rsid w:val="00576315"/>
    <w:rsid w:val="0058133D"/>
    <w:rsid w:val="0058261F"/>
    <w:rsid w:val="0058464E"/>
    <w:rsid w:val="00584857"/>
    <w:rsid w:val="005850B7"/>
    <w:rsid w:val="00585DAE"/>
    <w:rsid w:val="005863E1"/>
    <w:rsid w:val="00590B41"/>
    <w:rsid w:val="00590D62"/>
    <w:rsid w:val="005924D3"/>
    <w:rsid w:val="005928DD"/>
    <w:rsid w:val="00592AC3"/>
    <w:rsid w:val="00593292"/>
    <w:rsid w:val="005932ED"/>
    <w:rsid w:val="005940D8"/>
    <w:rsid w:val="0059460C"/>
    <w:rsid w:val="00595709"/>
    <w:rsid w:val="00596F07"/>
    <w:rsid w:val="00597DEC"/>
    <w:rsid w:val="005A01CB"/>
    <w:rsid w:val="005A03C5"/>
    <w:rsid w:val="005A04C3"/>
    <w:rsid w:val="005A0EDB"/>
    <w:rsid w:val="005A1A53"/>
    <w:rsid w:val="005A225B"/>
    <w:rsid w:val="005A24F4"/>
    <w:rsid w:val="005A2B59"/>
    <w:rsid w:val="005A372A"/>
    <w:rsid w:val="005A4C58"/>
    <w:rsid w:val="005A58FF"/>
    <w:rsid w:val="005A5EAF"/>
    <w:rsid w:val="005A63C0"/>
    <w:rsid w:val="005A64C0"/>
    <w:rsid w:val="005B0159"/>
    <w:rsid w:val="005B024C"/>
    <w:rsid w:val="005B031B"/>
    <w:rsid w:val="005B10FF"/>
    <w:rsid w:val="005B168C"/>
    <w:rsid w:val="005B17EF"/>
    <w:rsid w:val="005B1D9F"/>
    <w:rsid w:val="005B248B"/>
    <w:rsid w:val="005B3C11"/>
    <w:rsid w:val="005B4612"/>
    <w:rsid w:val="005B4CDF"/>
    <w:rsid w:val="005B6BA8"/>
    <w:rsid w:val="005B7931"/>
    <w:rsid w:val="005B7FE1"/>
    <w:rsid w:val="005C0917"/>
    <w:rsid w:val="005C092E"/>
    <w:rsid w:val="005C161F"/>
    <w:rsid w:val="005C1C28"/>
    <w:rsid w:val="005C2DA6"/>
    <w:rsid w:val="005C3901"/>
    <w:rsid w:val="005C45F6"/>
    <w:rsid w:val="005C47D6"/>
    <w:rsid w:val="005C484B"/>
    <w:rsid w:val="005C4A48"/>
    <w:rsid w:val="005C5AEF"/>
    <w:rsid w:val="005C5CBD"/>
    <w:rsid w:val="005C66FE"/>
    <w:rsid w:val="005C6C87"/>
    <w:rsid w:val="005C6DB5"/>
    <w:rsid w:val="005C6E3A"/>
    <w:rsid w:val="005C7614"/>
    <w:rsid w:val="005C7F44"/>
    <w:rsid w:val="005D05FC"/>
    <w:rsid w:val="005D0602"/>
    <w:rsid w:val="005D1162"/>
    <w:rsid w:val="005D124E"/>
    <w:rsid w:val="005D2B92"/>
    <w:rsid w:val="005D2DA0"/>
    <w:rsid w:val="005D39D7"/>
    <w:rsid w:val="005D528C"/>
    <w:rsid w:val="005D593F"/>
    <w:rsid w:val="005D6503"/>
    <w:rsid w:val="005D695B"/>
    <w:rsid w:val="005D700F"/>
    <w:rsid w:val="005D7A3D"/>
    <w:rsid w:val="005E19E7"/>
    <w:rsid w:val="005E1A4B"/>
    <w:rsid w:val="005E2DFF"/>
    <w:rsid w:val="005E307C"/>
    <w:rsid w:val="005E42D7"/>
    <w:rsid w:val="005E543F"/>
    <w:rsid w:val="005E55B4"/>
    <w:rsid w:val="005E6112"/>
    <w:rsid w:val="005F04BC"/>
    <w:rsid w:val="005F0562"/>
    <w:rsid w:val="005F0A55"/>
    <w:rsid w:val="005F0EB2"/>
    <w:rsid w:val="005F1AD3"/>
    <w:rsid w:val="005F2099"/>
    <w:rsid w:val="005F25FD"/>
    <w:rsid w:val="005F2CB0"/>
    <w:rsid w:val="005F2D74"/>
    <w:rsid w:val="005F3C56"/>
    <w:rsid w:val="005F45BF"/>
    <w:rsid w:val="005F5458"/>
    <w:rsid w:val="005F58AD"/>
    <w:rsid w:val="005F60C6"/>
    <w:rsid w:val="00600548"/>
    <w:rsid w:val="00600E16"/>
    <w:rsid w:val="00601CC7"/>
    <w:rsid w:val="00601F35"/>
    <w:rsid w:val="00602BDB"/>
    <w:rsid w:val="0060342B"/>
    <w:rsid w:val="006037DD"/>
    <w:rsid w:val="00603C85"/>
    <w:rsid w:val="0060404C"/>
    <w:rsid w:val="00604C03"/>
    <w:rsid w:val="00604FFA"/>
    <w:rsid w:val="00606187"/>
    <w:rsid w:val="00606E44"/>
    <w:rsid w:val="00606F1D"/>
    <w:rsid w:val="006071FC"/>
    <w:rsid w:val="00607F81"/>
    <w:rsid w:val="00610219"/>
    <w:rsid w:val="006127FC"/>
    <w:rsid w:val="00614E3A"/>
    <w:rsid w:val="00615268"/>
    <w:rsid w:val="00616B24"/>
    <w:rsid w:val="0061716C"/>
    <w:rsid w:val="006172AB"/>
    <w:rsid w:val="00620579"/>
    <w:rsid w:val="0062149C"/>
    <w:rsid w:val="00623024"/>
    <w:rsid w:val="00623D0B"/>
    <w:rsid w:val="00623FFF"/>
    <w:rsid w:val="006243A1"/>
    <w:rsid w:val="006257CD"/>
    <w:rsid w:val="006261CE"/>
    <w:rsid w:val="006274BB"/>
    <w:rsid w:val="00627BC1"/>
    <w:rsid w:val="00630DF6"/>
    <w:rsid w:val="006314BC"/>
    <w:rsid w:val="00631CA8"/>
    <w:rsid w:val="00632E56"/>
    <w:rsid w:val="006330F1"/>
    <w:rsid w:val="00633556"/>
    <w:rsid w:val="00634A30"/>
    <w:rsid w:val="00634FFA"/>
    <w:rsid w:val="00635977"/>
    <w:rsid w:val="00635C8D"/>
    <w:rsid w:val="00635CBA"/>
    <w:rsid w:val="00637E26"/>
    <w:rsid w:val="00637E29"/>
    <w:rsid w:val="006400AB"/>
    <w:rsid w:val="006417DD"/>
    <w:rsid w:val="0064192E"/>
    <w:rsid w:val="00641987"/>
    <w:rsid w:val="0064338B"/>
    <w:rsid w:val="006434BC"/>
    <w:rsid w:val="00644D54"/>
    <w:rsid w:val="00645494"/>
    <w:rsid w:val="0064570E"/>
    <w:rsid w:val="00646542"/>
    <w:rsid w:val="00646D90"/>
    <w:rsid w:val="006471EC"/>
    <w:rsid w:val="0064737A"/>
    <w:rsid w:val="006504F4"/>
    <w:rsid w:val="00650826"/>
    <w:rsid w:val="00650A4C"/>
    <w:rsid w:val="00652234"/>
    <w:rsid w:val="006523FE"/>
    <w:rsid w:val="00652F28"/>
    <w:rsid w:val="00653D17"/>
    <w:rsid w:val="006547D4"/>
    <w:rsid w:val="0065483C"/>
    <w:rsid w:val="00654B55"/>
    <w:rsid w:val="00654BC9"/>
    <w:rsid w:val="00654E90"/>
    <w:rsid w:val="006552FD"/>
    <w:rsid w:val="00655C0D"/>
    <w:rsid w:val="006561D6"/>
    <w:rsid w:val="00662285"/>
    <w:rsid w:val="006622BD"/>
    <w:rsid w:val="00662FC2"/>
    <w:rsid w:val="00663AF3"/>
    <w:rsid w:val="006667F4"/>
    <w:rsid w:val="00666B6C"/>
    <w:rsid w:val="006674BF"/>
    <w:rsid w:val="00667F15"/>
    <w:rsid w:val="00667F3A"/>
    <w:rsid w:val="00670385"/>
    <w:rsid w:val="00670C0E"/>
    <w:rsid w:val="00670D33"/>
    <w:rsid w:val="0067141A"/>
    <w:rsid w:val="006715DA"/>
    <w:rsid w:val="006719C0"/>
    <w:rsid w:val="00671C16"/>
    <w:rsid w:val="00672132"/>
    <w:rsid w:val="00672F45"/>
    <w:rsid w:val="00674F45"/>
    <w:rsid w:val="006750C5"/>
    <w:rsid w:val="00676B3E"/>
    <w:rsid w:val="00677458"/>
    <w:rsid w:val="006778A0"/>
    <w:rsid w:val="00677C23"/>
    <w:rsid w:val="00681441"/>
    <w:rsid w:val="00681CC9"/>
    <w:rsid w:val="00682682"/>
    <w:rsid w:val="00682702"/>
    <w:rsid w:val="00682DA4"/>
    <w:rsid w:val="00684A93"/>
    <w:rsid w:val="00685055"/>
    <w:rsid w:val="00685B80"/>
    <w:rsid w:val="00685C0F"/>
    <w:rsid w:val="0068683F"/>
    <w:rsid w:val="00690FE7"/>
    <w:rsid w:val="006912EF"/>
    <w:rsid w:val="00691FAE"/>
    <w:rsid w:val="00692368"/>
    <w:rsid w:val="006924FC"/>
    <w:rsid w:val="00693E5B"/>
    <w:rsid w:val="00694343"/>
    <w:rsid w:val="006945CA"/>
    <w:rsid w:val="00694607"/>
    <w:rsid w:val="0069531D"/>
    <w:rsid w:val="00695330"/>
    <w:rsid w:val="00695353"/>
    <w:rsid w:val="006953B7"/>
    <w:rsid w:val="0069596D"/>
    <w:rsid w:val="006976A7"/>
    <w:rsid w:val="00697954"/>
    <w:rsid w:val="006A05E5"/>
    <w:rsid w:val="006A0B26"/>
    <w:rsid w:val="006A0BBF"/>
    <w:rsid w:val="006A1DC1"/>
    <w:rsid w:val="006A2A24"/>
    <w:rsid w:val="006A2D0D"/>
    <w:rsid w:val="006A2EBC"/>
    <w:rsid w:val="006A3162"/>
    <w:rsid w:val="006A3AD2"/>
    <w:rsid w:val="006A3DDD"/>
    <w:rsid w:val="006A49A8"/>
    <w:rsid w:val="006A5469"/>
    <w:rsid w:val="006A5CD1"/>
    <w:rsid w:val="006A5EA0"/>
    <w:rsid w:val="006A783B"/>
    <w:rsid w:val="006A7AED"/>
    <w:rsid w:val="006A7B33"/>
    <w:rsid w:val="006B0D85"/>
    <w:rsid w:val="006B21D4"/>
    <w:rsid w:val="006B424C"/>
    <w:rsid w:val="006B4E13"/>
    <w:rsid w:val="006B5252"/>
    <w:rsid w:val="006B5513"/>
    <w:rsid w:val="006B581B"/>
    <w:rsid w:val="006B5CCC"/>
    <w:rsid w:val="006B646E"/>
    <w:rsid w:val="006B6D99"/>
    <w:rsid w:val="006B75DD"/>
    <w:rsid w:val="006B75E9"/>
    <w:rsid w:val="006B7C02"/>
    <w:rsid w:val="006B7DBD"/>
    <w:rsid w:val="006C072C"/>
    <w:rsid w:val="006C08B2"/>
    <w:rsid w:val="006C1BB0"/>
    <w:rsid w:val="006C1FEF"/>
    <w:rsid w:val="006C2552"/>
    <w:rsid w:val="006C25DB"/>
    <w:rsid w:val="006C37AD"/>
    <w:rsid w:val="006C620A"/>
    <w:rsid w:val="006C665A"/>
    <w:rsid w:val="006C67E0"/>
    <w:rsid w:val="006C7265"/>
    <w:rsid w:val="006C7911"/>
    <w:rsid w:val="006C7ABA"/>
    <w:rsid w:val="006D092F"/>
    <w:rsid w:val="006D0CA9"/>
    <w:rsid w:val="006D0D60"/>
    <w:rsid w:val="006D0F37"/>
    <w:rsid w:val="006D1122"/>
    <w:rsid w:val="006D13D4"/>
    <w:rsid w:val="006D1702"/>
    <w:rsid w:val="006D2300"/>
    <w:rsid w:val="006D2731"/>
    <w:rsid w:val="006D2833"/>
    <w:rsid w:val="006D2E09"/>
    <w:rsid w:val="006D39A2"/>
    <w:rsid w:val="006D3C00"/>
    <w:rsid w:val="006D4513"/>
    <w:rsid w:val="006D567E"/>
    <w:rsid w:val="006D58B3"/>
    <w:rsid w:val="006D67D8"/>
    <w:rsid w:val="006E0DEA"/>
    <w:rsid w:val="006E1333"/>
    <w:rsid w:val="006E13E9"/>
    <w:rsid w:val="006E1E98"/>
    <w:rsid w:val="006E3675"/>
    <w:rsid w:val="006E3BB8"/>
    <w:rsid w:val="006E4171"/>
    <w:rsid w:val="006E458B"/>
    <w:rsid w:val="006E47F5"/>
    <w:rsid w:val="006E4A7F"/>
    <w:rsid w:val="006E546F"/>
    <w:rsid w:val="006E5669"/>
    <w:rsid w:val="006E59E7"/>
    <w:rsid w:val="006E6DE7"/>
    <w:rsid w:val="006E7D81"/>
    <w:rsid w:val="006F1769"/>
    <w:rsid w:val="006F301E"/>
    <w:rsid w:val="006F3B26"/>
    <w:rsid w:val="006F44CD"/>
    <w:rsid w:val="006F5CC1"/>
    <w:rsid w:val="006F78D1"/>
    <w:rsid w:val="00701196"/>
    <w:rsid w:val="00701480"/>
    <w:rsid w:val="00701D6E"/>
    <w:rsid w:val="007039CA"/>
    <w:rsid w:val="00703C4A"/>
    <w:rsid w:val="00703DAA"/>
    <w:rsid w:val="00704224"/>
    <w:rsid w:val="00704DF6"/>
    <w:rsid w:val="00705739"/>
    <w:rsid w:val="00705CB1"/>
    <w:rsid w:val="0070651C"/>
    <w:rsid w:val="00707A37"/>
    <w:rsid w:val="00710F4F"/>
    <w:rsid w:val="0071102B"/>
    <w:rsid w:val="007124A1"/>
    <w:rsid w:val="007132A3"/>
    <w:rsid w:val="00714DFE"/>
    <w:rsid w:val="007157B2"/>
    <w:rsid w:val="00715AC5"/>
    <w:rsid w:val="00716421"/>
    <w:rsid w:val="00717DEC"/>
    <w:rsid w:val="00720D97"/>
    <w:rsid w:val="00721745"/>
    <w:rsid w:val="00722022"/>
    <w:rsid w:val="007227AD"/>
    <w:rsid w:val="00722C95"/>
    <w:rsid w:val="00723C8A"/>
    <w:rsid w:val="0072477A"/>
    <w:rsid w:val="0072495E"/>
    <w:rsid w:val="00724EFB"/>
    <w:rsid w:val="00726CC6"/>
    <w:rsid w:val="00726F0E"/>
    <w:rsid w:val="00730A6E"/>
    <w:rsid w:val="00730C18"/>
    <w:rsid w:val="00731056"/>
    <w:rsid w:val="007313D0"/>
    <w:rsid w:val="0073266C"/>
    <w:rsid w:val="007327CA"/>
    <w:rsid w:val="0073429A"/>
    <w:rsid w:val="00735791"/>
    <w:rsid w:val="00735F50"/>
    <w:rsid w:val="00736078"/>
    <w:rsid w:val="0073648C"/>
    <w:rsid w:val="00736FE6"/>
    <w:rsid w:val="00737274"/>
    <w:rsid w:val="00737DDD"/>
    <w:rsid w:val="007419C3"/>
    <w:rsid w:val="0074414D"/>
    <w:rsid w:val="00745AAC"/>
    <w:rsid w:val="007467A7"/>
    <w:rsid w:val="00746940"/>
    <w:rsid w:val="007469DD"/>
    <w:rsid w:val="007472AE"/>
    <w:rsid w:val="0074741B"/>
    <w:rsid w:val="0074759E"/>
    <w:rsid w:val="0074778F"/>
    <w:rsid w:val="007478EA"/>
    <w:rsid w:val="0075093C"/>
    <w:rsid w:val="00750B2A"/>
    <w:rsid w:val="00750F48"/>
    <w:rsid w:val="00751F0A"/>
    <w:rsid w:val="00752CC3"/>
    <w:rsid w:val="00753AF0"/>
    <w:rsid w:val="0075415C"/>
    <w:rsid w:val="00754599"/>
    <w:rsid w:val="00756C0E"/>
    <w:rsid w:val="007609FE"/>
    <w:rsid w:val="00761775"/>
    <w:rsid w:val="0076203E"/>
    <w:rsid w:val="00763502"/>
    <w:rsid w:val="00763B4F"/>
    <w:rsid w:val="00763F5D"/>
    <w:rsid w:val="00765361"/>
    <w:rsid w:val="00766953"/>
    <w:rsid w:val="007672E9"/>
    <w:rsid w:val="00770950"/>
    <w:rsid w:val="00770C23"/>
    <w:rsid w:val="007713A3"/>
    <w:rsid w:val="00771F02"/>
    <w:rsid w:val="007728C4"/>
    <w:rsid w:val="007733BF"/>
    <w:rsid w:val="00773D94"/>
    <w:rsid w:val="00774038"/>
    <w:rsid w:val="0077440F"/>
    <w:rsid w:val="007746E6"/>
    <w:rsid w:val="007749BF"/>
    <w:rsid w:val="00774B60"/>
    <w:rsid w:val="00774EC5"/>
    <w:rsid w:val="00775E13"/>
    <w:rsid w:val="00777B4D"/>
    <w:rsid w:val="00781120"/>
    <w:rsid w:val="007813E9"/>
    <w:rsid w:val="0078160A"/>
    <w:rsid w:val="00781AFA"/>
    <w:rsid w:val="00782881"/>
    <w:rsid w:val="00782D4F"/>
    <w:rsid w:val="00782E26"/>
    <w:rsid w:val="007834EB"/>
    <w:rsid w:val="00783D12"/>
    <w:rsid w:val="00783ECE"/>
    <w:rsid w:val="007842FE"/>
    <w:rsid w:val="0078467F"/>
    <w:rsid w:val="00784890"/>
    <w:rsid w:val="007859AB"/>
    <w:rsid w:val="007913AB"/>
    <w:rsid w:val="007914F7"/>
    <w:rsid w:val="00791AF2"/>
    <w:rsid w:val="00791F1A"/>
    <w:rsid w:val="00792605"/>
    <w:rsid w:val="00792BAA"/>
    <w:rsid w:val="00794974"/>
    <w:rsid w:val="007957DD"/>
    <w:rsid w:val="00795E58"/>
    <w:rsid w:val="00796C4A"/>
    <w:rsid w:val="00797841"/>
    <w:rsid w:val="00797AD1"/>
    <w:rsid w:val="00797FB3"/>
    <w:rsid w:val="007A096D"/>
    <w:rsid w:val="007A1798"/>
    <w:rsid w:val="007A1B73"/>
    <w:rsid w:val="007A3336"/>
    <w:rsid w:val="007A7A7C"/>
    <w:rsid w:val="007B01B9"/>
    <w:rsid w:val="007B0A26"/>
    <w:rsid w:val="007B15B3"/>
    <w:rsid w:val="007B1625"/>
    <w:rsid w:val="007B1690"/>
    <w:rsid w:val="007B2550"/>
    <w:rsid w:val="007B706E"/>
    <w:rsid w:val="007B71EB"/>
    <w:rsid w:val="007C0366"/>
    <w:rsid w:val="007C204E"/>
    <w:rsid w:val="007C3382"/>
    <w:rsid w:val="007C4287"/>
    <w:rsid w:val="007C47F8"/>
    <w:rsid w:val="007C4DB6"/>
    <w:rsid w:val="007C5932"/>
    <w:rsid w:val="007C5B4F"/>
    <w:rsid w:val="007C6205"/>
    <w:rsid w:val="007C6568"/>
    <w:rsid w:val="007C6830"/>
    <w:rsid w:val="007C686A"/>
    <w:rsid w:val="007C728E"/>
    <w:rsid w:val="007C78CE"/>
    <w:rsid w:val="007D0919"/>
    <w:rsid w:val="007D0F39"/>
    <w:rsid w:val="007D190C"/>
    <w:rsid w:val="007D1ACF"/>
    <w:rsid w:val="007D1FD3"/>
    <w:rsid w:val="007D2C53"/>
    <w:rsid w:val="007D2DB7"/>
    <w:rsid w:val="007D3D60"/>
    <w:rsid w:val="007D4121"/>
    <w:rsid w:val="007D4490"/>
    <w:rsid w:val="007D657D"/>
    <w:rsid w:val="007D6876"/>
    <w:rsid w:val="007D6A53"/>
    <w:rsid w:val="007D74A4"/>
    <w:rsid w:val="007D7BE9"/>
    <w:rsid w:val="007E1980"/>
    <w:rsid w:val="007E1AB0"/>
    <w:rsid w:val="007E1C6A"/>
    <w:rsid w:val="007E3DFC"/>
    <w:rsid w:val="007E3F51"/>
    <w:rsid w:val="007E4A0B"/>
    <w:rsid w:val="007E4B76"/>
    <w:rsid w:val="007E53F5"/>
    <w:rsid w:val="007E5EA8"/>
    <w:rsid w:val="007E6683"/>
    <w:rsid w:val="007E6D6E"/>
    <w:rsid w:val="007E7172"/>
    <w:rsid w:val="007F00AC"/>
    <w:rsid w:val="007F0557"/>
    <w:rsid w:val="007F068A"/>
    <w:rsid w:val="007F0BC8"/>
    <w:rsid w:val="007F0CF1"/>
    <w:rsid w:val="007F12A5"/>
    <w:rsid w:val="007F257D"/>
    <w:rsid w:val="007F2885"/>
    <w:rsid w:val="007F2A0D"/>
    <w:rsid w:val="007F32F8"/>
    <w:rsid w:val="007F4CF1"/>
    <w:rsid w:val="007F4F7C"/>
    <w:rsid w:val="007F6B32"/>
    <w:rsid w:val="007F758D"/>
    <w:rsid w:val="007F7BAF"/>
    <w:rsid w:val="007F7D52"/>
    <w:rsid w:val="008006F5"/>
    <w:rsid w:val="00801709"/>
    <w:rsid w:val="0080173F"/>
    <w:rsid w:val="00801758"/>
    <w:rsid w:val="008019A2"/>
    <w:rsid w:val="008028C3"/>
    <w:rsid w:val="00803DE9"/>
    <w:rsid w:val="00804789"/>
    <w:rsid w:val="00804D37"/>
    <w:rsid w:val="008055E5"/>
    <w:rsid w:val="00805FAB"/>
    <w:rsid w:val="0080654C"/>
    <w:rsid w:val="008071C6"/>
    <w:rsid w:val="00807A0E"/>
    <w:rsid w:val="00810540"/>
    <w:rsid w:val="008108B8"/>
    <w:rsid w:val="00811902"/>
    <w:rsid w:val="00811C37"/>
    <w:rsid w:val="0081281F"/>
    <w:rsid w:val="00812A3C"/>
    <w:rsid w:val="0081457D"/>
    <w:rsid w:val="00814649"/>
    <w:rsid w:val="00814B5F"/>
    <w:rsid w:val="00815233"/>
    <w:rsid w:val="008158DA"/>
    <w:rsid w:val="00815D2A"/>
    <w:rsid w:val="008172B4"/>
    <w:rsid w:val="00817A00"/>
    <w:rsid w:val="00817E4D"/>
    <w:rsid w:val="00817F21"/>
    <w:rsid w:val="00817F78"/>
    <w:rsid w:val="00821F5A"/>
    <w:rsid w:val="0082220A"/>
    <w:rsid w:val="00822C62"/>
    <w:rsid w:val="00823EC0"/>
    <w:rsid w:val="0082472F"/>
    <w:rsid w:val="00824CAD"/>
    <w:rsid w:val="00824DFD"/>
    <w:rsid w:val="00826246"/>
    <w:rsid w:val="00827760"/>
    <w:rsid w:val="00830E29"/>
    <w:rsid w:val="00831997"/>
    <w:rsid w:val="00831A42"/>
    <w:rsid w:val="00832933"/>
    <w:rsid w:val="0083443F"/>
    <w:rsid w:val="00835DB3"/>
    <w:rsid w:val="0083617B"/>
    <w:rsid w:val="008371BD"/>
    <w:rsid w:val="008375A1"/>
    <w:rsid w:val="00837C55"/>
    <w:rsid w:val="00841062"/>
    <w:rsid w:val="0084225B"/>
    <w:rsid w:val="008427C3"/>
    <w:rsid w:val="0084422F"/>
    <w:rsid w:val="008446EA"/>
    <w:rsid w:val="008466FE"/>
    <w:rsid w:val="008472E0"/>
    <w:rsid w:val="0084789C"/>
    <w:rsid w:val="008504A8"/>
    <w:rsid w:val="00850F0B"/>
    <w:rsid w:val="00852762"/>
    <w:rsid w:val="0085282E"/>
    <w:rsid w:val="0085296F"/>
    <w:rsid w:val="00854241"/>
    <w:rsid w:val="008549AE"/>
    <w:rsid w:val="00856A76"/>
    <w:rsid w:val="008575CA"/>
    <w:rsid w:val="008601BA"/>
    <w:rsid w:val="008605A5"/>
    <w:rsid w:val="00861329"/>
    <w:rsid w:val="00861C7D"/>
    <w:rsid w:val="00862DB4"/>
    <w:rsid w:val="00863049"/>
    <w:rsid w:val="00863A5C"/>
    <w:rsid w:val="00864064"/>
    <w:rsid w:val="00866438"/>
    <w:rsid w:val="00866781"/>
    <w:rsid w:val="00870DFD"/>
    <w:rsid w:val="0087164A"/>
    <w:rsid w:val="0087198C"/>
    <w:rsid w:val="008726DD"/>
    <w:rsid w:val="00872C1F"/>
    <w:rsid w:val="00872FD7"/>
    <w:rsid w:val="00873A05"/>
    <w:rsid w:val="00873B42"/>
    <w:rsid w:val="008749FC"/>
    <w:rsid w:val="00875CAC"/>
    <w:rsid w:val="00875D86"/>
    <w:rsid w:val="00875E34"/>
    <w:rsid w:val="00876BA8"/>
    <w:rsid w:val="00877B63"/>
    <w:rsid w:val="00880884"/>
    <w:rsid w:val="008808E4"/>
    <w:rsid w:val="00881934"/>
    <w:rsid w:val="008819BA"/>
    <w:rsid w:val="00881AE1"/>
    <w:rsid w:val="00881EE4"/>
    <w:rsid w:val="0088217D"/>
    <w:rsid w:val="008833D8"/>
    <w:rsid w:val="00884660"/>
    <w:rsid w:val="00884FD7"/>
    <w:rsid w:val="0088522B"/>
    <w:rsid w:val="008856D8"/>
    <w:rsid w:val="00886913"/>
    <w:rsid w:val="00886B37"/>
    <w:rsid w:val="00887D6B"/>
    <w:rsid w:val="008927F5"/>
    <w:rsid w:val="00892E82"/>
    <w:rsid w:val="00893470"/>
    <w:rsid w:val="008949A2"/>
    <w:rsid w:val="00897538"/>
    <w:rsid w:val="008A065C"/>
    <w:rsid w:val="008A2C06"/>
    <w:rsid w:val="008A2E0E"/>
    <w:rsid w:val="008A322E"/>
    <w:rsid w:val="008A3D17"/>
    <w:rsid w:val="008A3EFE"/>
    <w:rsid w:val="008A4A56"/>
    <w:rsid w:val="008A563F"/>
    <w:rsid w:val="008A5CF6"/>
    <w:rsid w:val="008A5F52"/>
    <w:rsid w:val="008A7AA0"/>
    <w:rsid w:val="008A7EF7"/>
    <w:rsid w:val="008B0260"/>
    <w:rsid w:val="008B0E8F"/>
    <w:rsid w:val="008B12D9"/>
    <w:rsid w:val="008B199E"/>
    <w:rsid w:val="008B217A"/>
    <w:rsid w:val="008B227C"/>
    <w:rsid w:val="008B28F4"/>
    <w:rsid w:val="008B2980"/>
    <w:rsid w:val="008B2B86"/>
    <w:rsid w:val="008B2E00"/>
    <w:rsid w:val="008B343A"/>
    <w:rsid w:val="008B348F"/>
    <w:rsid w:val="008B485A"/>
    <w:rsid w:val="008B56C2"/>
    <w:rsid w:val="008B5830"/>
    <w:rsid w:val="008B609D"/>
    <w:rsid w:val="008B6E21"/>
    <w:rsid w:val="008B70CB"/>
    <w:rsid w:val="008B7844"/>
    <w:rsid w:val="008B7929"/>
    <w:rsid w:val="008C0FF6"/>
    <w:rsid w:val="008C1694"/>
    <w:rsid w:val="008C1B58"/>
    <w:rsid w:val="008C1C10"/>
    <w:rsid w:val="008C1DD8"/>
    <w:rsid w:val="008C31C5"/>
    <w:rsid w:val="008C39AE"/>
    <w:rsid w:val="008C4511"/>
    <w:rsid w:val="008C52AC"/>
    <w:rsid w:val="008C590D"/>
    <w:rsid w:val="008C5D86"/>
    <w:rsid w:val="008C6210"/>
    <w:rsid w:val="008C78AE"/>
    <w:rsid w:val="008C7EB5"/>
    <w:rsid w:val="008D0DAD"/>
    <w:rsid w:val="008D14F8"/>
    <w:rsid w:val="008D2D2C"/>
    <w:rsid w:val="008D2DC9"/>
    <w:rsid w:val="008D37F6"/>
    <w:rsid w:val="008D432B"/>
    <w:rsid w:val="008D45A4"/>
    <w:rsid w:val="008D49E0"/>
    <w:rsid w:val="008D5BD9"/>
    <w:rsid w:val="008D636E"/>
    <w:rsid w:val="008D6D32"/>
    <w:rsid w:val="008D7485"/>
    <w:rsid w:val="008D7E85"/>
    <w:rsid w:val="008E031B"/>
    <w:rsid w:val="008E0C38"/>
    <w:rsid w:val="008E0D5A"/>
    <w:rsid w:val="008E1723"/>
    <w:rsid w:val="008E18BF"/>
    <w:rsid w:val="008E1B91"/>
    <w:rsid w:val="008E24DF"/>
    <w:rsid w:val="008E2D73"/>
    <w:rsid w:val="008E4514"/>
    <w:rsid w:val="008E7029"/>
    <w:rsid w:val="008E7C13"/>
    <w:rsid w:val="008E7DD0"/>
    <w:rsid w:val="008E7EF6"/>
    <w:rsid w:val="008F021B"/>
    <w:rsid w:val="008F02E6"/>
    <w:rsid w:val="008F0C40"/>
    <w:rsid w:val="008F1D37"/>
    <w:rsid w:val="008F1F98"/>
    <w:rsid w:val="008F346E"/>
    <w:rsid w:val="008F3570"/>
    <w:rsid w:val="008F3D2D"/>
    <w:rsid w:val="008F40A1"/>
    <w:rsid w:val="008F5C32"/>
    <w:rsid w:val="008F5E2F"/>
    <w:rsid w:val="008F6758"/>
    <w:rsid w:val="008F7B08"/>
    <w:rsid w:val="00900E9F"/>
    <w:rsid w:val="0090122B"/>
    <w:rsid w:val="009012FE"/>
    <w:rsid w:val="0090156D"/>
    <w:rsid w:val="00901749"/>
    <w:rsid w:val="009019FF"/>
    <w:rsid w:val="009020D6"/>
    <w:rsid w:val="00902DFD"/>
    <w:rsid w:val="00902E8D"/>
    <w:rsid w:val="009039F3"/>
    <w:rsid w:val="00903AED"/>
    <w:rsid w:val="00903EB1"/>
    <w:rsid w:val="009040DD"/>
    <w:rsid w:val="00905B47"/>
    <w:rsid w:val="00906B89"/>
    <w:rsid w:val="009074DA"/>
    <w:rsid w:val="00910011"/>
    <w:rsid w:val="009109AB"/>
    <w:rsid w:val="009124E5"/>
    <w:rsid w:val="00912A7B"/>
    <w:rsid w:val="0091331C"/>
    <w:rsid w:val="009145B4"/>
    <w:rsid w:val="00915498"/>
    <w:rsid w:val="0091676B"/>
    <w:rsid w:val="00916953"/>
    <w:rsid w:val="009176B7"/>
    <w:rsid w:val="00917E41"/>
    <w:rsid w:val="00920424"/>
    <w:rsid w:val="00920B4E"/>
    <w:rsid w:val="00921E20"/>
    <w:rsid w:val="00921EB5"/>
    <w:rsid w:val="00921F07"/>
    <w:rsid w:val="0092236D"/>
    <w:rsid w:val="009228C1"/>
    <w:rsid w:val="00922C42"/>
    <w:rsid w:val="009230F4"/>
    <w:rsid w:val="00924A84"/>
    <w:rsid w:val="00924B5E"/>
    <w:rsid w:val="00924ECD"/>
    <w:rsid w:val="00926126"/>
    <w:rsid w:val="009267FA"/>
    <w:rsid w:val="00926D6D"/>
    <w:rsid w:val="00927552"/>
    <w:rsid w:val="009279DE"/>
    <w:rsid w:val="00927C40"/>
    <w:rsid w:val="00930116"/>
    <w:rsid w:val="00930FA0"/>
    <w:rsid w:val="009322CA"/>
    <w:rsid w:val="00932903"/>
    <w:rsid w:val="009331CA"/>
    <w:rsid w:val="00934894"/>
    <w:rsid w:val="00935D84"/>
    <w:rsid w:val="00936246"/>
    <w:rsid w:val="00941426"/>
    <w:rsid w:val="009414DF"/>
    <w:rsid w:val="00941F33"/>
    <w:rsid w:val="0094212C"/>
    <w:rsid w:val="009421DF"/>
    <w:rsid w:val="009430F8"/>
    <w:rsid w:val="00944032"/>
    <w:rsid w:val="009441F1"/>
    <w:rsid w:val="0094567A"/>
    <w:rsid w:val="009457FD"/>
    <w:rsid w:val="00945F41"/>
    <w:rsid w:val="00947D9A"/>
    <w:rsid w:val="009502DB"/>
    <w:rsid w:val="0095073D"/>
    <w:rsid w:val="00950AE0"/>
    <w:rsid w:val="009514D0"/>
    <w:rsid w:val="00951C46"/>
    <w:rsid w:val="00952044"/>
    <w:rsid w:val="0095313D"/>
    <w:rsid w:val="009537C2"/>
    <w:rsid w:val="009545D9"/>
    <w:rsid w:val="00954689"/>
    <w:rsid w:val="009550F4"/>
    <w:rsid w:val="00955EBC"/>
    <w:rsid w:val="009601C1"/>
    <w:rsid w:val="009617C9"/>
    <w:rsid w:val="00961C93"/>
    <w:rsid w:val="0096231D"/>
    <w:rsid w:val="00962EAA"/>
    <w:rsid w:val="00963373"/>
    <w:rsid w:val="009635FF"/>
    <w:rsid w:val="00963DA8"/>
    <w:rsid w:val="00963E28"/>
    <w:rsid w:val="0096519F"/>
    <w:rsid w:val="009651FE"/>
    <w:rsid w:val="00965324"/>
    <w:rsid w:val="0096610B"/>
    <w:rsid w:val="00966FB6"/>
    <w:rsid w:val="00970151"/>
    <w:rsid w:val="00970338"/>
    <w:rsid w:val="0097091E"/>
    <w:rsid w:val="00970FC6"/>
    <w:rsid w:val="00971354"/>
    <w:rsid w:val="0097230D"/>
    <w:rsid w:val="00972ECE"/>
    <w:rsid w:val="00974827"/>
    <w:rsid w:val="00974DE5"/>
    <w:rsid w:val="009751C6"/>
    <w:rsid w:val="009754DE"/>
    <w:rsid w:val="009760D3"/>
    <w:rsid w:val="00977132"/>
    <w:rsid w:val="00977F73"/>
    <w:rsid w:val="00980607"/>
    <w:rsid w:val="00981A4B"/>
    <w:rsid w:val="00982374"/>
    <w:rsid w:val="00982501"/>
    <w:rsid w:val="009827E2"/>
    <w:rsid w:val="00982A83"/>
    <w:rsid w:val="00982CAA"/>
    <w:rsid w:val="00985120"/>
    <w:rsid w:val="009859BA"/>
    <w:rsid w:val="009869A6"/>
    <w:rsid w:val="009877D3"/>
    <w:rsid w:val="009908BE"/>
    <w:rsid w:val="00990A23"/>
    <w:rsid w:val="00990DA2"/>
    <w:rsid w:val="009910ED"/>
    <w:rsid w:val="009925F5"/>
    <w:rsid w:val="009933AE"/>
    <w:rsid w:val="00993C05"/>
    <w:rsid w:val="009940A4"/>
    <w:rsid w:val="0099486C"/>
    <w:rsid w:val="00994A3C"/>
    <w:rsid w:val="00994E8F"/>
    <w:rsid w:val="00994EF1"/>
    <w:rsid w:val="009951DC"/>
    <w:rsid w:val="009959BB"/>
    <w:rsid w:val="00995A49"/>
    <w:rsid w:val="00997158"/>
    <w:rsid w:val="00997298"/>
    <w:rsid w:val="0099775D"/>
    <w:rsid w:val="00997947"/>
    <w:rsid w:val="00997A1B"/>
    <w:rsid w:val="009A1372"/>
    <w:rsid w:val="009A333B"/>
    <w:rsid w:val="009A3A7C"/>
    <w:rsid w:val="009A3AEF"/>
    <w:rsid w:val="009A67C9"/>
    <w:rsid w:val="009A6E3D"/>
    <w:rsid w:val="009A6F34"/>
    <w:rsid w:val="009A7444"/>
    <w:rsid w:val="009A7BA9"/>
    <w:rsid w:val="009A7DF2"/>
    <w:rsid w:val="009B0B2C"/>
    <w:rsid w:val="009B2ADB"/>
    <w:rsid w:val="009B37B2"/>
    <w:rsid w:val="009B3DC1"/>
    <w:rsid w:val="009B4D09"/>
    <w:rsid w:val="009B59C0"/>
    <w:rsid w:val="009B603A"/>
    <w:rsid w:val="009B67D1"/>
    <w:rsid w:val="009B7B8E"/>
    <w:rsid w:val="009C0454"/>
    <w:rsid w:val="009C087E"/>
    <w:rsid w:val="009C1CA8"/>
    <w:rsid w:val="009C2435"/>
    <w:rsid w:val="009C293B"/>
    <w:rsid w:val="009C2D0E"/>
    <w:rsid w:val="009C3DAC"/>
    <w:rsid w:val="009C42E0"/>
    <w:rsid w:val="009C4A54"/>
    <w:rsid w:val="009C520B"/>
    <w:rsid w:val="009C61DA"/>
    <w:rsid w:val="009C6397"/>
    <w:rsid w:val="009C656E"/>
    <w:rsid w:val="009D2D26"/>
    <w:rsid w:val="009D323F"/>
    <w:rsid w:val="009D4832"/>
    <w:rsid w:val="009D4873"/>
    <w:rsid w:val="009D5033"/>
    <w:rsid w:val="009D5362"/>
    <w:rsid w:val="009D6AAC"/>
    <w:rsid w:val="009D7C48"/>
    <w:rsid w:val="009E1415"/>
    <w:rsid w:val="009E1DAD"/>
    <w:rsid w:val="009E2668"/>
    <w:rsid w:val="009E2AFD"/>
    <w:rsid w:val="009E2BA2"/>
    <w:rsid w:val="009E2BCC"/>
    <w:rsid w:val="009E2CC7"/>
    <w:rsid w:val="009E3E17"/>
    <w:rsid w:val="009E4079"/>
    <w:rsid w:val="009E408F"/>
    <w:rsid w:val="009E49E2"/>
    <w:rsid w:val="009E5632"/>
    <w:rsid w:val="009E585B"/>
    <w:rsid w:val="009E595A"/>
    <w:rsid w:val="009E6116"/>
    <w:rsid w:val="009E7543"/>
    <w:rsid w:val="009E7C4C"/>
    <w:rsid w:val="009F1D84"/>
    <w:rsid w:val="009F27B2"/>
    <w:rsid w:val="009F47F4"/>
    <w:rsid w:val="009F53EE"/>
    <w:rsid w:val="009F55EE"/>
    <w:rsid w:val="009F5836"/>
    <w:rsid w:val="009F6151"/>
    <w:rsid w:val="009F665A"/>
    <w:rsid w:val="009F66B3"/>
    <w:rsid w:val="009F6C3E"/>
    <w:rsid w:val="00A024D1"/>
    <w:rsid w:val="00A02E43"/>
    <w:rsid w:val="00A03F31"/>
    <w:rsid w:val="00A05C68"/>
    <w:rsid w:val="00A065F9"/>
    <w:rsid w:val="00A06AD9"/>
    <w:rsid w:val="00A06C4D"/>
    <w:rsid w:val="00A06F4D"/>
    <w:rsid w:val="00A07F34"/>
    <w:rsid w:val="00A102AF"/>
    <w:rsid w:val="00A1072E"/>
    <w:rsid w:val="00A114D7"/>
    <w:rsid w:val="00A12D45"/>
    <w:rsid w:val="00A1742E"/>
    <w:rsid w:val="00A175DD"/>
    <w:rsid w:val="00A17720"/>
    <w:rsid w:val="00A2025B"/>
    <w:rsid w:val="00A20A20"/>
    <w:rsid w:val="00A20B0C"/>
    <w:rsid w:val="00A22154"/>
    <w:rsid w:val="00A221B1"/>
    <w:rsid w:val="00A23CA7"/>
    <w:rsid w:val="00A24E59"/>
    <w:rsid w:val="00A257B8"/>
    <w:rsid w:val="00A25C38"/>
    <w:rsid w:val="00A266B0"/>
    <w:rsid w:val="00A30886"/>
    <w:rsid w:val="00A30BFB"/>
    <w:rsid w:val="00A31A8C"/>
    <w:rsid w:val="00A31D8A"/>
    <w:rsid w:val="00A320FF"/>
    <w:rsid w:val="00A3236A"/>
    <w:rsid w:val="00A32B73"/>
    <w:rsid w:val="00A34420"/>
    <w:rsid w:val="00A350AC"/>
    <w:rsid w:val="00A35C47"/>
    <w:rsid w:val="00A36BBE"/>
    <w:rsid w:val="00A401DD"/>
    <w:rsid w:val="00A40950"/>
    <w:rsid w:val="00A42347"/>
    <w:rsid w:val="00A425C4"/>
    <w:rsid w:val="00A42BAF"/>
    <w:rsid w:val="00A42E15"/>
    <w:rsid w:val="00A4307A"/>
    <w:rsid w:val="00A44530"/>
    <w:rsid w:val="00A44CE6"/>
    <w:rsid w:val="00A44EAA"/>
    <w:rsid w:val="00A457A2"/>
    <w:rsid w:val="00A46B0D"/>
    <w:rsid w:val="00A479CC"/>
    <w:rsid w:val="00A47EBB"/>
    <w:rsid w:val="00A503BD"/>
    <w:rsid w:val="00A50B84"/>
    <w:rsid w:val="00A51CDD"/>
    <w:rsid w:val="00A5227F"/>
    <w:rsid w:val="00A52603"/>
    <w:rsid w:val="00A52A02"/>
    <w:rsid w:val="00A53794"/>
    <w:rsid w:val="00A550F9"/>
    <w:rsid w:val="00A5562B"/>
    <w:rsid w:val="00A55BC3"/>
    <w:rsid w:val="00A56255"/>
    <w:rsid w:val="00A56C8C"/>
    <w:rsid w:val="00A574A9"/>
    <w:rsid w:val="00A57A25"/>
    <w:rsid w:val="00A60551"/>
    <w:rsid w:val="00A6119D"/>
    <w:rsid w:val="00A64546"/>
    <w:rsid w:val="00A64DB8"/>
    <w:rsid w:val="00A64F89"/>
    <w:rsid w:val="00A6537B"/>
    <w:rsid w:val="00A65A58"/>
    <w:rsid w:val="00A65F3D"/>
    <w:rsid w:val="00A6608E"/>
    <w:rsid w:val="00A6730D"/>
    <w:rsid w:val="00A7071F"/>
    <w:rsid w:val="00A71132"/>
    <w:rsid w:val="00A71320"/>
    <w:rsid w:val="00A71625"/>
    <w:rsid w:val="00A71690"/>
    <w:rsid w:val="00A718D9"/>
    <w:rsid w:val="00A71B9B"/>
    <w:rsid w:val="00A72F6A"/>
    <w:rsid w:val="00A731DB"/>
    <w:rsid w:val="00A734F2"/>
    <w:rsid w:val="00A73B3F"/>
    <w:rsid w:val="00A751C7"/>
    <w:rsid w:val="00A75692"/>
    <w:rsid w:val="00A7661B"/>
    <w:rsid w:val="00A76B3E"/>
    <w:rsid w:val="00A76CA5"/>
    <w:rsid w:val="00A82999"/>
    <w:rsid w:val="00A83943"/>
    <w:rsid w:val="00A83F9C"/>
    <w:rsid w:val="00A84C93"/>
    <w:rsid w:val="00A8529A"/>
    <w:rsid w:val="00A8543E"/>
    <w:rsid w:val="00A86CF5"/>
    <w:rsid w:val="00A8703F"/>
    <w:rsid w:val="00A87844"/>
    <w:rsid w:val="00A87CDB"/>
    <w:rsid w:val="00A90741"/>
    <w:rsid w:val="00A907EB"/>
    <w:rsid w:val="00A90E7D"/>
    <w:rsid w:val="00A91BB7"/>
    <w:rsid w:val="00A921E2"/>
    <w:rsid w:val="00A92EE2"/>
    <w:rsid w:val="00A949E4"/>
    <w:rsid w:val="00A955C2"/>
    <w:rsid w:val="00A95964"/>
    <w:rsid w:val="00A95A1E"/>
    <w:rsid w:val="00A9667A"/>
    <w:rsid w:val="00A966BA"/>
    <w:rsid w:val="00A97888"/>
    <w:rsid w:val="00AA038C"/>
    <w:rsid w:val="00AA0F21"/>
    <w:rsid w:val="00AA0FB2"/>
    <w:rsid w:val="00AA102D"/>
    <w:rsid w:val="00AA19AB"/>
    <w:rsid w:val="00AA1E43"/>
    <w:rsid w:val="00AA232B"/>
    <w:rsid w:val="00AA2569"/>
    <w:rsid w:val="00AA3075"/>
    <w:rsid w:val="00AA50B3"/>
    <w:rsid w:val="00AA52EA"/>
    <w:rsid w:val="00AA63A7"/>
    <w:rsid w:val="00AA65A0"/>
    <w:rsid w:val="00AA7A09"/>
    <w:rsid w:val="00AB1066"/>
    <w:rsid w:val="00AB1B70"/>
    <w:rsid w:val="00AB23FE"/>
    <w:rsid w:val="00AB31ED"/>
    <w:rsid w:val="00AB3B50"/>
    <w:rsid w:val="00AB5403"/>
    <w:rsid w:val="00AB5861"/>
    <w:rsid w:val="00AB6BC3"/>
    <w:rsid w:val="00AB7CB8"/>
    <w:rsid w:val="00AB7CE0"/>
    <w:rsid w:val="00AB7DAF"/>
    <w:rsid w:val="00AC05B1"/>
    <w:rsid w:val="00AC1F1B"/>
    <w:rsid w:val="00AC2319"/>
    <w:rsid w:val="00AC43CB"/>
    <w:rsid w:val="00AC5D97"/>
    <w:rsid w:val="00AC747C"/>
    <w:rsid w:val="00AC7955"/>
    <w:rsid w:val="00AC7CC9"/>
    <w:rsid w:val="00AD0B40"/>
    <w:rsid w:val="00AD356C"/>
    <w:rsid w:val="00AD35E7"/>
    <w:rsid w:val="00AD3C33"/>
    <w:rsid w:val="00AD3DAF"/>
    <w:rsid w:val="00AD424B"/>
    <w:rsid w:val="00AD4372"/>
    <w:rsid w:val="00AD483C"/>
    <w:rsid w:val="00AD630A"/>
    <w:rsid w:val="00AD6858"/>
    <w:rsid w:val="00AD7177"/>
    <w:rsid w:val="00AD7373"/>
    <w:rsid w:val="00AE0BCA"/>
    <w:rsid w:val="00AE0F55"/>
    <w:rsid w:val="00AE18F3"/>
    <w:rsid w:val="00AE1F04"/>
    <w:rsid w:val="00AE2225"/>
    <w:rsid w:val="00AE2914"/>
    <w:rsid w:val="00AE3144"/>
    <w:rsid w:val="00AE3170"/>
    <w:rsid w:val="00AE3296"/>
    <w:rsid w:val="00AE3806"/>
    <w:rsid w:val="00AE3A5A"/>
    <w:rsid w:val="00AE4699"/>
    <w:rsid w:val="00AE473B"/>
    <w:rsid w:val="00AE4E07"/>
    <w:rsid w:val="00AE6B81"/>
    <w:rsid w:val="00AE6D15"/>
    <w:rsid w:val="00AE6FF6"/>
    <w:rsid w:val="00AF0B80"/>
    <w:rsid w:val="00AF10E8"/>
    <w:rsid w:val="00AF12E0"/>
    <w:rsid w:val="00AF1542"/>
    <w:rsid w:val="00AF1871"/>
    <w:rsid w:val="00AF1AA0"/>
    <w:rsid w:val="00AF222C"/>
    <w:rsid w:val="00AF2BCC"/>
    <w:rsid w:val="00AF2E95"/>
    <w:rsid w:val="00AF37BD"/>
    <w:rsid w:val="00AF3A11"/>
    <w:rsid w:val="00AF400B"/>
    <w:rsid w:val="00AF497F"/>
    <w:rsid w:val="00AF51C4"/>
    <w:rsid w:val="00AF52D1"/>
    <w:rsid w:val="00B0039D"/>
    <w:rsid w:val="00B00E4A"/>
    <w:rsid w:val="00B011D9"/>
    <w:rsid w:val="00B018A1"/>
    <w:rsid w:val="00B01F76"/>
    <w:rsid w:val="00B02E7E"/>
    <w:rsid w:val="00B0414A"/>
    <w:rsid w:val="00B04182"/>
    <w:rsid w:val="00B04B31"/>
    <w:rsid w:val="00B057B8"/>
    <w:rsid w:val="00B07AE3"/>
    <w:rsid w:val="00B07C36"/>
    <w:rsid w:val="00B10444"/>
    <w:rsid w:val="00B10800"/>
    <w:rsid w:val="00B108A2"/>
    <w:rsid w:val="00B10956"/>
    <w:rsid w:val="00B10C8B"/>
    <w:rsid w:val="00B11430"/>
    <w:rsid w:val="00B115B2"/>
    <w:rsid w:val="00B12034"/>
    <w:rsid w:val="00B123F8"/>
    <w:rsid w:val="00B12521"/>
    <w:rsid w:val="00B12615"/>
    <w:rsid w:val="00B1360F"/>
    <w:rsid w:val="00B137EB"/>
    <w:rsid w:val="00B140C1"/>
    <w:rsid w:val="00B15A04"/>
    <w:rsid w:val="00B15BC9"/>
    <w:rsid w:val="00B1686F"/>
    <w:rsid w:val="00B175F2"/>
    <w:rsid w:val="00B175FD"/>
    <w:rsid w:val="00B20283"/>
    <w:rsid w:val="00B209A6"/>
    <w:rsid w:val="00B22CAD"/>
    <w:rsid w:val="00B22EA5"/>
    <w:rsid w:val="00B2334A"/>
    <w:rsid w:val="00B24FDB"/>
    <w:rsid w:val="00B255FD"/>
    <w:rsid w:val="00B27444"/>
    <w:rsid w:val="00B27DEB"/>
    <w:rsid w:val="00B30608"/>
    <w:rsid w:val="00B321F4"/>
    <w:rsid w:val="00B32427"/>
    <w:rsid w:val="00B3457A"/>
    <w:rsid w:val="00B353EB"/>
    <w:rsid w:val="00B361B7"/>
    <w:rsid w:val="00B3647C"/>
    <w:rsid w:val="00B36D8D"/>
    <w:rsid w:val="00B40BA3"/>
    <w:rsid w:val="00B40E3E"/>
    <w:rsid w:val="00B4122E"/>
    <w:rsid w:val="00B4136E"/>
    <w:rsid w:val="00B41F48"/>
    <w:rsid w:val="00B43045"/>
    <w:rsid w:val="00B43864"/>
    <w:rsid w:val="00B439C4"/>
    <w:rsid w:val="00B4444D"/>
    <w:rsid w:val="00B44715"/>
    <w:rsid w:val="00B44CD1"/>
    <w:rsid w:val="00B4535E"/>
    <w:rsid w:val="00B465A3"/>
    <w:rsid w:val="00B4765A"/>
    <w:rsid w:val="00B5149C"/>
    <w:rsid w:val="00B5271F"/>
    <w:rsid w:val="00B52749"/>
    <w:rsid w:val="00B52A8C"/>
    <w:rsid w:val="00B53921"/>
    <w:rsid w:val="00B5489C"/>
    <w:rsid w:val="00B549B4"/>
    <w:rsid w:val="00B55D6D"/>
    <w:rsid w:val="00B56C70"/>
    <w:rsid w:val="00B57D49"/>
    <w:rsid w:val="00B60129"/>
    <w:rsid w:val="00B60EF1"/>
    <w:rsid w:val="00B62365"/>
    <w:rsid w:val="00B6283B"/>
    <w:rsid w:val="00B62C55"/>
    <w:rsid w:val="00B636A8"/>
    <w:rsid w:val="00B63BC7"/>
    <w:rsid w:val="00B643BB"/>
    <w:rsid w:val="00B64A45"/>
    <w:rsid w:val="00B6536B"/>
    <w:rsid w:val="00B66113"/>
    <w:rsid w:val="00B66439"/>
    <w:rsid w:val="00B665C6"/>
    <w:rsid w:val="00B66B8C"/>
    <w:rsid w:val="00B70A27"/>
    <w:rsid w:val="00B7120D"/>
    <w:rsid w:val="00B71554"/>
    <w:rsid w:val="00B73115"/>
    <w:rsid w:val="00B73E48"/>
    <w:rsid w:val="00B747CF"/>
    <w:rsid w:val="00B76692"/>
    <w:rsid w:val="00B7683B"/>
    <w:rsid w:val="00B80233"/>
    <w:rsid w:val="00B8048B"/>
    <w:rsid w:val="00B805AF"/>
    <w:rsid w:val="00B80BF9"/>
    <w:rsid w:val="00B810DE"/>
    <w:rsid w:val="00B8134C"/>
    <w:rsid w:val="00B82296"/>
    <w:rsid w:val="00B82336"/>
    <w:rsid w:val="00B830E1"/>
    <w:rsid w:val="00B84108"/>
    <w:rsid w:val="00B85454"/>
    <w:rsid w:val="00B855D0"/>
    <w:rsid w:val="00B8595C"/>
    <w:rsid w:val="00B867A6"/>
    <w:rsid w:val="00B869EC"/>
    <w:rsid w:val="00B91209"/>
    <w:rsid w:val="00B91DC2"/>
    <w:rsid w:val="00B91E00"/>
    <w:rsid w:val="00B93074"/>
    <w:rsid w:val="00B932BD"/>
    <w:rsid w:val="00B93740"/>
    <w:rsid w:val="00B93944"/>
    <w:rsid w:val="00B9397A"/>
    <w:rsid w:val="00B93EFC"/>
    <w:rsid w:val="00B94372"/>
    <w:rsid w:val="00B94AD3"/>
    <w:rsid w:val="00B95A66"/>
    <w:rsid w:val="00B95C1A"/>
    <w:rsid w:val="00B9633D"/>
    <w:rsid w:val="00B97364"/>
    <w:rsid w:val="00B97C55"/>
    <w:rsid w:val="00BA1143"/>
    <w:rsid w:val="00BA1A9B"/>
    <w:rsid w:val="00BA22E4"/>
    <w:rsid w:val="00BA2EBE"/>
    <w:rsid w:val="00BA3024"/>
    <w:rsid w:val="00BA3A72"/>
    <w:rsid w:val="00BA4485"/>
    <w:rsid w:val="00BA4B0F"/>
    <w:rsid w:val="00BA4F00"/>
    <w:rsid w:val="00BA63DD"/>
    <w:rsid w:val="00BA69B1"/>
    <w:rsid w:val="00BA7A07"/>
    <w:rsid w:val="00BA7CC2"/>
    <w:rsid w:val="00BB01C7"/>
    <w:rsid w:val="00BB0531"/>
    <w:rsid w:val="00BB0F28"/>
    <w:rsid w:val="00BB203B"/>
    <w:rsid w:val="00BB2D41"/>
    <w:rsid w:val="00BB4245"/>
    <w:rsid w:val="00BB435C"/>
    <w:rsid w:val="00BB43AE"/>
    <w:rsid w:val="00BB458A"/>
    <w:rsid w:val="00BB6227"/>
    <w:rsid w:val="00BB71A9"/>
    <w:rsid w:val="00BB7E3E"/>
    <w:rsid w:val="00BC1DDD"/>
    <w:rsid w:val="00BC25C2"/>
    <w:rsid w:val="00BC27EB"/>
    <w:rsid w:val="00BC2D41"/>
    <w:rsid w:val="00BC2D43"/>
    <w:rsid w:val="00BC397C"/>
    <w:rsid w:val="00BC3E29"/>
    <w:rsid w:val="00BC4678"/>
    <w:rsid w:val="00BC4FED"/>
    <w:rsid w:val="00BC5CFC"/>
    <w:rsid w:val="00BC624D"/>
    <w:rsid w:val="00BC67B2"/>
    <w:rsid w:val="00BC79B9"/>
    <w:rsid w:val="00BD00D3"/>
    <w:rsid w:val="00BD104B"/>
    <w:rsid w:val="00BD1659"/>
    <w:rsid w:val="00BD3AA9"/>
    <w:rsid w:val="00BD4A18"/>
    <w:rsid w:val="00BD6DB2"/>
    <w:rsid w:val="00BD7A22"/>
    <w:rsid w:val="00BE04BF"/>
    <w:rsid w:val="00BE11CF"/>
    <w:rsid w:val="00BE21AB"/>
    <w:rsid w:val="00BE43E5"/>
    <w:rsid w:val="00BE4CD5"/>
    <w:rsid w:val="00BE55CB"/>
    <w:rsid w:val="00BE78D7"/>
    <w:rsid w:val="00BF01C7"/>
    <w:rsid w:val="00BF070C"/>
    <w:rsid w:val="00BF10A1"/>
    <w:rsid w:val="00BF11A7"/>
    <w:rsid w:val="00BF192E"/>
    <w:rsid w:val="00BF4355"/>
    <w:rsid w:val="00BF4A5B"/>
    <w:rsid w:val="00BF617A"/>
    <w:rsid w:val="00BF654B"/>
    <w:rsid w:val="00BF725C"/>
    <w:rsid w:val="00BF7979"/>
    <w:rsid w:val="00BF7DA4"/>
    <w:rsid w:val="00C00C4B"/>
    <w:rsid w:val="00C011A9"/>
    <w:rsid w:val="00C018AC"/>
    <w:rsid w:val="00C028DB"/>
    <w:rsid w:val="00C0379D"/>
    <w:rsid w:val="00C03931"/>
    <w:rsid w:val="00C05863"/>
    <w:rsid w:val="00C05FE3"/>
    <w:rsid w:val="00C06EBF"/>
    <w:rsid w:val="00C11C41"/>
    <w:rsid w:val="00C12149"/>
    <w:rsid w:val="00C138C2"/>
    <w:rsid w:val="00C13AAD"/>
    <w:rsid w:val="00C14755"/>
    <w:rsid w:val="00C166FE"/>
    <w:rsid w:val="00C16796"/>
    <w:rsid w:val="00C16A8C"/>
    <w:rsid w:val="00C20688"/>
    <w:rsid w:val="00C206FA"/>
    <w:rsid w:val="00C2136D"/>
    <w:rsid w:val="00C214EE"/>
    <w:rsid w:val="00C21C81"/>
    <w:rsid w:val="00C21CD3"/>
    <w:rsid w:val="00C221F5"/>
    <w:rsid w:val="00C22D13"/>
    <w:rsid w:val="00C22EA5"/>
    <w:rsid w:val="00C2314B"/>
    <w:rsid w:val="00C236F4"/>
    <w:rsid w:val="00C23A57"/>
    <w:rsid w:val="00C23B10"/>
    <w:rsid w:val="00C23C3C"/>
    <w:rsid w:val="00C2438A"/>
    <w:rsid w:val="00C24971"/>
    <w:rsid w:val="00C256E9"/>
    <w:rsid w:val="00C25AC0"/>
    <w:rsid w:val="00C25BD9"/>
    <w:rsid w:val="00C26BE5"/>
    <w:rsid w:val="00C26E4D"/>
    <w:rsid w:val="00C276A3"/>
    <w:rsid w:val="00C27909"/>
    <w:rsid w:val="00C27B03"/>
    <w:rsid w:val="00C27FF5"/>
    <w:rsid w:val="00C31276"/>
    <w:rsid w:val="00C3146A"/>
    <w:rsid w:val="00C314E1"/>
    <w:rsid w:val="00C31BD9"/>
    <w:rsid w:val="00C31F51"/>
    <w:rsid w:val="00C3215B"/>
    <w:rsid w:val="00C323A4"/>
    <w:rsid w:val="00C323B8"/>
    <w:rsid w:val="00C32A50"/>
    <w:rsid w:val="00C3323A"/>
    <w:rsid w:val="00C34397"/>
    <w:rsid w:val="00C345A3"/>
    <w:rsid w:val="00C36B53"/>
    <w:rsid w:val="00C36F50"/>
    <w:rsid w:val="00C4095D"/>
    <w:rsid w:val="00C4155D"/>
    <w:rsid w:val="00C416CD"/>
    <w:rsid w:val="00C41DFC"/>
    <w:rsid w:val="00C42457"/>
    <w:rsid w:val="00C434F3"/>
    <w:rsid w:val="00C43627"/>
    <w:rsid w:val="00C44AF6"/>
    <w:rsid w:val="00C45853"/>
    <w:rsid w:val="00C4758C"/>
    <w:rsid w:val="00C51BCA"/>
    <w:rsid w:val="00C51FB7"/>
    <w:rsid w:val="00C54432"/>
    <w:rsid w:val="00C547AF"/>
    <w:rsid w:val="00C54B1F"/>
    <w:rsid w:val="00C550B6"/>
    <w:rsid w:val="00C55F5F"/>
    <w:rsid w:val="00C5687A"/>
    <w:rsid w:val="00C57C21"/>
    <w:rsid w:val="00C601D2"/>
    <w:rsid w:val="00C60E3F"/>
    <w:rsid w:val="00C627F7"/>
    <w:rsid w:val="00C62B34"/>
    <w:rsid w:val="00C62C4B"/>
    <w:rsid w:val="00C62FE1"/>
    <w:rsid w:val="00C6328F"/>
    <w:rsid w:val="00C63403"/>
    <w:rsid w:val="00C65667"/>
    <w:rsid w:val="00C65BCC"/>
    <w:rsid w:val="00C663D2"/>
    <w:rsid w:val="00C66970"/>
    <w:rsid w:val="00C716AA"/>
    <w:rsid w:val="00C7274D"/>
    <w:rsid w:val="00C7319A"/>
    <w:rsid w:val="00C7370F"/>
    <w:rsid w:val="00C73885"/>
    <w:rsid w:val="00C74786"/>
    <w:rsid w:val="00C74A1B"/>
    <w:rsid w:val="00C75543"/>
    <w:rsid w:val="00C8032D"/>
    <w:rsid w:val="00C80500"/>
    <w:rsid w:val="00C808E0"/>
    <w:rsid w:val="00C81888"/>
    <w:rsid w:val="00C82482"/>
    <w:rsid w:val="00C82B38"/>
    <w:rsid w:val="00C82FC4"/>
    <w:rsid w:val="00C83DF7"/>
    <w:rsid w:val="00C845A2"/>
    <w:rsid w:val="00C84851"/>
    <w:rsid w:val="00C84C10"/>
    <w:rsid w:val="00C857E9"/>
    <w:rsid w:val="00C8691C"/>
    <w:rsid w:val="00C86A9D"/>
    <w:rsid w:val="00C87321"/>
    <w:rsid w:val="00C87699"/>
    <w:rsid w:val="00C91924"/>
    <w:rsid w:val="00C92805"/>
    <w:rsid w:val="00C933B8"/>
    <w:rsid w:val="00C946BF"/>
    <w:rsid w:val="00C94B69"/>
    <w:rsid w:val="00C94C75"/>
    <w:rsid w:val="00C962E8"/>
    <w:rsid w:val="00C9655A"/>
    <w:rsid w:val="00C968DA"/>
    <w:rsid w:val="00CA0D56"/>
    <w:rsid w:val="00CA168A"/>
    <w:rsid w:val="00CA3157"/>
    <w:rsid w:val="00CA357E"/>
    <w:rsid w:val="00CA44F9"/>
    <w:rsid w:val="00CA4755"/>
    <w:rsid w:val="00CA4A69"/>
    <w:rsid w:val="00CA4C9A"/>
    <w:rsid w:val="00CB0686"/>
    <w:rsid w:val="00CB1143"/>
    <w:rsid w:val="00CB252F"/>
    <w:rsid w:val="00CB3195"/>
    <w:rsid w:val="00CB33A2"/>
    <w:rsid w:val="00CB4569"/>
    <w:rsid w:val="00CB4EEE"/>
    <w:rsid w:val="00CB4EF4"/>
    <w:rsid w:val="00CB5968"/>
    <w:rsid w:val="00CB6FC2"/>
    <w:rsid w:val="00CB756D"/>
    <w:rsid w:val="00CB7F90"/>
    <w:rsid w:val="00CC00BC"/>
    <w:rsid w:val="00CC050E"/>
    <w:rsid w:val="00CC1C35"/>
    <w:rsid w:val="00CC1E69"/>
    <w:rsid w:val="00CC24BD"/>
    <w:rsid w:val="00CC32FA"/>
    <w:rsid w:val="00CC3415"/>
    <w:rsid w:val="00CC3E0C"/>
    <w:rsid w:val="00CC4805"/>
    <w:rsid w:val="00CC4F00"/>
    <w:rsid w:val="00CC50D3"/>
    <w:rsid w:val="00CC58D3"/>
    <w:rsid w:val="00CC5D5F"/>
    <w:rsid w:val="00CC5E2D"/>
    <w:rsid w:val="00CC6578"/>
    <w:rsid w:val="00CC676E"/>
    <w:rsid w:val="00CC784D"/>
    <w:rsid w:val="00CD0AD0"/>
    <w:rsid w:val="00CD0F34"/>
    <w:rsid w:val="00CD1870"/>
    <w:rsid w:val="00CD1F73"/>
    <w:rsid w:val="00CD38F1"/>
    <w:rsid w:val="00CD4200"/>
    <w:rsid w:val="00CD43EF"/>
    <w:rsid w:val="00CD4FF6"/>
    <w:rsid w:val="00CD5E44"/>
    <w:rsid w:val="00CD7A1B"/>
    <w:rsid w:val="00CD7BCE"/>
    <w:rsid w:val="00CE04C4"/>
    <w:rsid w:val="00CE08CB"/>
    <w:rsid w:val="00CE0CF2"/>
    <w:rsid w:val="00CE0F42"/>
    <w:rsid w:val="00CE0F56"/>
    <w:rsid w:val="00CE1461"/>
    <w:rsid w:val="00CE4416"/>
    <w:rsid w:val="00CE5AA5"/>
    <w:rsid w:val="00CE5DAE"/>
    <w:rsid w:val="00CE635E"/>
    <w:rsid w:val="00CE6677"/>
    <w:rsid w:val="00CE6E33"/>
    <w:rsid w:val="00CE71CD"/>
    <w:rsid w:val="00CE79CC"/>
    <w:rsid w:val="00CF0287"/>
    <w:rsid w:val="00CF0C02"/>
    <w:rsid w:val="00CF17BD"/>
    <w:rsid w:val="00CF25D4"/>
    <w:rsid w:val="00CF2E7E"/>
    <w:rsid w:val="00CF396B"/>
    <w:rsid w:val="00CF694F"/>
    <w:rsid w:val="00CF7BCF"/>
    <w:rsid w:val="00D00244"/>
    <w:rsid w:val="00D00950"/>
    <w:rsid w:val="00D01793"/>
    <w:rsid w:val="00D01B70"/>
    <w:rsid w:val="00D02243"/>
    <w:rsid w:val="00D030D8"/>
    <w:rsid w:val="00D0337B"/>
    <w:rsid w:val="00D03601"/>
    <w:rsid w:val="00D04B8F"/>
    <w:rsid w:val="00D05354"/>
    <w:rsid w:val="00D06D6A"/>
    <w:rsid w:val="00D070E5"/>
    <w:rsid w:val="00D079B2"/>
    <w:rsid w:val="00D10356"/>
    <w:rsid w:val="00D105E8"/>
    <w:rsid w:val="00D10633"/>
    <w:rsid w:val="00D108D2"/>
    <w:rsid w:val="00D114E9"/>
    <w:rsid w:val="00D11D43"/>
    <w:rsid w:val="00D126D1"/>
    <w:rsid w:val="00D12D41"/>
    <w:rsid w:val="00D12D69"/>
    <w:rsid w:val="00D151C5"/>
    <w:rsid w:val="00D15B4E"/>
    <w:rsid w:val="00D16838"/>
    <w:rsid w:val="00D16E0E"/>
    <w:rsid w:val="00D176C9"/>
    <w:rsid w:val="00D205B4"/>
    <w:rsid w:val="00D20F50"/>
    <w:rsid w:val="00D21130"/>
    <w:rsid w:val="00D2187A"/>
    <w:rsid w:val="00D221CB"/>
    <w:rsid w:val="00D2238F"/>
    <w:rsid w:val="00D22A02"/>
    <w:rsid w:val="00D22BC6"/>
    <w:rsid w:val="00D22D9E"/>
    <w:rsid w:val="00D23F9B"/>
    <w:rsid w:val="00D25A97"/>
    <w:rsid w:val="00D25C58"/>
    <w:rsid w:val="00D271F8"/>
    <w:rsid w:val="00D31741"/>
    <w:rsid w:val="00D31930"/>
    <w:rsid w:val="00D319D4"/>
    <w:rsid w:val="00D324E2"/>
    <w:rsid w:val="00D32542"/>
    <w:rsid w:val="00D32B02"/>
    <w:rsid w:val="00D32BDD"/>
    <w:rsid w:val="00D33133"/>
    <w:rsid w:val="00D3357F"/>
    <w:rsid w:val="00D337A6"/>
    <w:rsid w:val="00D337CD"/>
    <w:rsid w:val="00D33F2B"/>
    <w:rsid w:val="00D341B9"/>
    <w:rsid w:val="00D35558"/>
    <w:rsid w:val="00D3684A"/>
    <w:rsid w:val="00D37FC4"/>
    <w:rsid w:val="00D4044B"/>
    <w:rsid w:val="00D4079C"/>
    <w:rsid w:val="00D409C3"/>
    <w:rsid w:val="00D4172F"/>
    <w:rsid w:val="00D41E68"/>
    <w:rsid w:val="00D429C6"/>
    <w:rsid w:val="00D444EF"/>
    <w:rsid w:val="00D44ADA"/>
    <w:rsid w:val="00D44EA4"/>
    <w:rsid w:val="00D455EF"/>
    <w:rsid w:val="00D456E9"/>
    <w:rsid w:val="00D47179"/>
    <w:rsid w:val="00D474EE"/>
    <w:rsid w:val="00D47748"/>
    <w:rsid w:val="00D47D82"/>
    <w:rsid w:val="00D500D8"/>
    <w:rsid w:val="00D5038B"/>
    <w:rsid w:val="00D51458"/>
    <w:rsid w:val="00D522B5"/>
    <w:rsid w:val="00D52D76"/>
    <w:rsid w:val="00D53DFF"/>
    <w:rsid w:val="00D547D6"/>
    <w:rsid w:val="00D54CC3"/>
    <w:rsid w:val="00D5587F"/>
    <w:rsid w:val="00D567FA"/>
    <w:rsid w:val="00D60114"/>
    <w:rsid w:val="00D6041A"/>
    <w:rsid w:val="00D61968"/>
    <w:rsid w:val="00D61ADB"/>
    <w:rsid w:val="00D62AD5"/>
    <w:rsid w:val="00D633EB"/>
    <w:rsid w:val="00D637E4"/>
    <w:rsid w:val="00D638C1"/>
    <w:rsid w:val="00D65F51"/>
    <w:rsid w:val="00D66A2A"/>
    <w:rsid w:val="00D7068E"/>
    <w:rsid w:val="00D70937"/>
    <w:rsid w:val="00D70F95"/>
    <w:rsid w:val="00D7102C"/>
    <w:rsid w:val="00D7161E"/>
    <w:rsid w:val="00D71D86"/>
    <w:rsid w:val="00D721C9"/>
    <w:rsid w:val="00D72C59"/>
    <w:rsid w:val="00D745C7"/>
    <w:rsid w:val="00D74B44"/>
    <w:rsid w:val="00D75460"/>
    <w:rsid w:val="00D75757"/>
    <w:rsid w:val="00D77E5C"/>
    <w:rsid w:val="00D80949"/>
    <w:rsid w:val="00D8149F"/>
    <w:rsid w:val="00D81C46"/>
    <w:rsid w:val="00D82567"/>
    <w:rsid w:val="00D82CF2"/>
    <w:rsid w:val="00D82FF7"/>
    <w:rsid w:val="00D83947"/>
    <w:rsid w:val="00D839A4"/>
    <w:rsid w:val="00D83EFA"/>
    <w:rsid w:val="00D8420A"/>
    <w:rsid w:val="00D847FE"/>
    <w:rsid w:val="00D85860"/>
    <w:rsid w:val="00D8618D"/>
    <w:rsid w:val="00D867A7"/>
    <w:rsid w:val="00D86811"/>
    <w:rsid w:val="00D87755"/>
    <w:rsid w:val="00D91550"/>
    <w:rsid w:val="00D92DEF"/>
    <w:rsid w:val="00D931FF"/>
    <w:rsid w:val="00D93251"/>
    <w:rsid w:val="00D93A46"/>
    <w:rsid w:val="00D94979"/>
    <w:rsid w:val="00D94C8A"/>
    <w:rsid w:val="00D964EA"/>
    <w:rsid w:val="00D966D0"/>
    <w:rsid w:val="00D96B14"/>
    <w:rsid w:val="00D9720E"/>
    <w:rsid w:val="00D97476"/>
    <w:rsid w:val="00D97B72"/>
    <w:rsid w:val="00DA0C59"/>
    <w:rsid w:val="00DA10A5"/>
    <w:rsid w:val="00DA1C69"/>
    <w:rsid w:val="00DA2E9C"/>
    <w:rsid w:val="00DA3313"/>
    <w:rsid w:val="00DA3991"/>
    <w:rsid w:val="00DA476B"/>
    <w:rsid w:val="00DA7093"/>
    <w:rsid w:val="00DA765A"/>
    <w:rsid w:val="00DA7AAE"/>
    <w:rsid w:val="00DB284F"/>
    <w:rsid w:val="00DB4155"/>
    <w:rsid w:val="00DB4998"/>
    <w:rsid w:val="00DB49E8"/>
    <w:rsid w:val="00DB4EAC"/>
    <w:rsid w:val="00DB5962"/>
    <w:rsid w:val="00DB77A3"/>
    <w:rsid w:val="00DB7D33"/>
    <w:rsid w:val="00DB7E6C"/>
    <w:rsid w:val="00DC0D69"/>
    <w:rsid w:val="00DC176F"/>
    <w:rsid w:val="00DC1A8B"/>
    <w:rsid w:val="00DC1C32"/>
    <w:rsid w:val="00DC1C74"/>
    <w:rsid w:val="00DC26F0"/>
    <w:rsid w:val="00DC2B2C"/>
    <w:rsid w:val="00DC301B"/>
    <w:rsid w:val="00DC352A"/>
    <w:rsid w:val="00DC3980"/>
    <w:rsid w:val="00DC3B92"/>
    <w:rsid w:val="00DC4BA4"/>
    <w:rsid w:val="00DC5B1B"/>
    <w:rsid w:val="00DC7A79"/>
    <w:rsid w:val="00DD0F50"/>
    <w:rsid w:val="00DD1531"/>
    <w:rsid w:val="00DD3228"/>
    <w:rsid w:val="00DD358A"/>
    <w:rsid w:val="00DD3846"/>
    <w:rsid w:val="00DD3C28"/>
    <w:rsid w:val="00DD405B"/>
    <w:rsid w:val="00DD419F"/>
    <w:rsid w:val="00DD5514"/>
    <w:rsid w:val="00DD5A29"/>
    <w:rsid w:val="00DD5D9D"/>
    <w:rsid w:val="00DD692E"/>
    <w:rsid w:val="00DD6BA3"/>
    <w:rsid w:val="00DE061A"/>
    <w:rsid w:val="00DE0A59"/>
    <w:rsid w:val="00DE1CFC"/>
    <w:rsid w:val="00DE3019"/>
    <w:rsid w:val="00DE35CB"/>
    <w:rsid w:val="00DE4825"/>
    <w:rsid w:val="00DE53E5"/>
    <w:rsid w:val="00DE5839"/>
    <w:rsid w:val="00DE5BDB"/>
    <w:rsid w:val="00DE60B2"/>
    <w:rsid w:val="00DE76BA"/>
    <w:rsid w:val="00DE79D9"/>
    <w:rsid w:val="00DE7ABF"/>
    <w:rsid w:val="00DE7C9D"/>
    <w:rsid w:val="00DE7DFD"/>
    <w:rsid w:val="00DF121C"/>
    <w:rsid w:val="00DF136D"/>
    <w:rsid w:val="00DF1753"/>
    <w:rsid w:val="00DF21E9"/>
    <w:rsid w:val="00DF4185"/>
    <w:rsid w:val="00DF5C28"/>
    <w:rsid w:val="00DF7573"/>
    <w:rsid w:val="00DF7FC4"/>
    <w:rsid w:val="00E00268"/>
    <w:rsid w:val="00E00F14"/>
    <w:rsid w:val="00E022CE"/>
    <w:rsid w:val="00E0243D"/>
    <w:rsid w:val="00E02742"/>
    <w:rsid w:val="00E0285D"/>
    <w:rsid w:val="00E029AA"/>
    <w:rsid w:val="00E03B4F"/>
    <w:rsid w:val="00E04996"/>
    <w:rsid w:val="00E04A5E"/>
    <w:rsid w:val="00E04D59"/>
    <w:rsid w:val="00E05949"/>
    <w:rsid w:val="00E06386"/>
    <w:rsid w:val="00E079C5"/>
    <w:rsid w:val="00E106F2"/>
    <w:rsid w:val="00E11849"/>
    <w:rsid w:val="00E120DA"/>
    <w:rsid w:val="00E1353D"/>
    <w:rsid w:val="00E14037"/>
    <w:rsid w:val="00E14207"/>
    <w:rsid w:val="00E14678"/>
    <w:rsid w:val="00E1511C"/>
    <w:rsid w:val="00E167CD"/>
    <w:rsid w:val="00E16F25"/>
    <w:rsid w:val="00E171C4"/>
    <w:rsid w:val="00E1794B"/>
    <w:rsid w:val="00E17F73"/>
    <w:rsid w:val="00E20B4C"/>
    <w:rsid w:val="00E214F7"/>
    <w:rsid w:val="00E21AB5"/>
    <w:rsid w:val="00E21B99"/>
    <w:rsid w:val="00E223A7"/>
    <w:rsid w:val="00E228BE"/>
    <w:rsid w:val="00E24B13"/>
    <w:rsid w:val="00E24EB4"/>
    <w:rsid w:val="00E25347"/>
    <w:rsid w:val="00E2584E"/>
    <w:rsid w:val="00E2595C"/>
    <w:rsid w:val="00E2640D"/>
    <w:rsid w:val="00E3044E"/>
    <w:rsid w:val="00E3197A"/>
    <w:rsid w:val="00E3202C"/>
    <w:rsid w:val="00E320ED"/>
    <w:rsid w:val="00E3392E"/>
    <w:rsid w:val="00E33AFB"/>
    <w:rsid w:val="00E340CA"/>
    <w:rsid w:val="00E34218"/>
    <w:rsid w:val="00E34837"/>
    <w:rsid w:val="00E35131"/>
    <w:rsid w:val="00E35693"/>
    <w:rsid w:val="00E35D3E"/>
    <w:rsid w:val="00E369FB"/>
    <w:rsid w:val="00E404EA"/>
    <w:rsid w:val="00E40EAD"/>
    <w:rsid w:val="00E413EC"/>
    <w:rsid w:val="00E41531"/>
    <w:rsid w:val="00E4354E"/>
    <w:rsid w:val="00E43C78"/>
    <w:rsid w:val="00E44D01"/>
    <w:rsid w:val="00E44E5D"/>
    <w:rsid w:val="00E45617"/>
    <w:rsid w:val="00E45B4E"/>
    <w:rsid w:val="00E46282"/>
    <w:rsid w:val="00E47341"/>
    <w:rsid w:val="00E47B16"/>
    <w:rsid w:val="00E47E37"/>
    <w:rsid w:val="00E51F23"/>
    <w:rsid w:val="00E5216E"/>
    <w:rsid w:val="00E525A4"/>
    <w:rsid w:val="00E526B7"/>
    <w:rsid w:val="00E527BD"/>
    <w:rsid w:val="00E55B81"/>
    <w:rsid w:val="00E572AF"/>
    <w:rsid w:val="00E5798A"/>
    <w:rsid w:val="00E60122"/>
    <w:rsid w:val="00E60275"/>
    <w:rsid w:val="00E62E36"/>
    <w:rsid w:val="00E63D3C"/>
    <w:rsid w:val="00E63FE5"/>
    <w:rsid w:val="00E65765"/>
    <w:rsid w:val="00E659E9"/>
    <w:rsid w:val="00E66569"/>
    <w:rsid w:val="00E6740E"/>
    <w:rsid w:val="00E67FC7"/>
    <w:rsid w:val="00E70173"/>
    <w:rsid w:val="00E70E4F"/>
    <w:rsid w:val="00E710AB"/>
    <w:rsid w:val="00E72152"/>
    <w:rsid w:val="00E7308C"/>
    <w:rsid w:val="00E73496"/>
    <w:rsid w:val="00E736FB"/>
    <w:rsid w:val="00E741F0"/>
    <w:rsid w:val="00E750B5"/>
    <w:rsid w:val="00E76572"/>
    <w:rsid w:val="00E768E3"/>
    <w:rsid w:val="00E76997"/>
    <w:rsid w:val="00E8080E"/>
    <w:rsid w:val="00E80F92"/>
    <w:rsid w:val="00E8131A"/>
    <w:rsid w:val="00E81B5A"/>
    <w:rsid w:val="00E81F9C"/>
    <w:rsid w:val="00E82344"/>
    <w:rsid w:val="00E824CD"/>
    <w:rsid w:val="00E831EA"/>
    <w:rsid w:val="00E83454"/>
    <w:rsid w:val="00E839C1"/>
    <w:rsid w:val="00E841A0"/>
    <w:rsid w:val="00E84771"/>
    <w:rsid w:val="00E84C82"/>
    <w:rsid w:val="00E84D64"/>
    <w:rsid w:val="00E85D92"/>
    <w:rsid w:val="00E862FD"/>
    <w:rsid w:val="00E865A8"/>
    <w:rsid w:val="00E87408"/>
    <w:rsid w:val="00E878E2"/>
    <w:rsid w:val="00E914C4"/>
    <w:rsid w:val="00E9185A"/>
    <w:rsid w:val="00E91D2D"/>
    <w:rsid w:val="00E926A2"/>
    <w:rsid w:val="00E92AE2"/>
    <w:rsid w:val="00E934F5"/>
    <w:rsid w:val="00E9394F"/>
    <w:rsid w:val="00E9429A"/>
    <w:rsid w:val="00E94615"/>
    <w:rsid w:val="00E94826"/>
    <w:rsid w:val="00E951E9"/>
    <w:rsid w:val="00E95859"/>
    <w:rsid w:val="00E96903"/>
    <w:rsid w:val="00E96961"/>
    <w:rsid w:val="00EA1BA0"/>
    <w:rsid w:val="00EA2931"/>
    <w:rsid w:val="00EA39EE"/>
    <w:rsid w:val="00EA46FB"/>
    <w:rsid w:val="00EA563D"/>
    <w:rsid w:val="00EA6315"/>
    <w:rsid w:val="00EA64C9"/>
    <w:rsid w:val="00EA6EE1"/>
    <w:rsid w:val="00EA70DC"/>
    <w:rsid w:val="00EA72EC"/>
    <w:rsid w:val="00EA7307"/>
    <w:rsid w:val="00EA7552"/>
    <w:rsid w:val="00EB0726"/>
    <w:rsid w:val="00EB0AF1"/>
    <w:rsid w:val="00EB11CB"/>
    <w:rsid w:val="00EB159B"/>
    <w:rsid w:val="00EB275A"/>
    <w:rsid w:val="00EB33D5"/>
    <w:rsid w:val="00EB3CE5"/>
    <w:rsid w:val="00EB40F9"/>
    <w:rsid w:val="00EB4CB9"/>
    <w:rsid w:val="00EB6297"/>
    <w:rsid w:val="00EB66E2"/>
    <w:rsid w:val="00EB6E8D"/>
    <w:rsid w:val="00EB714C"/>
    <w:rsid w:val="00EB7470"/>
    <w:rsid w:val="00EB786A"/>
    <w:rsid w:val="00EC08C1"/>
    <w:rsid w:val="00EC0CC5"/>
    <w:rsid w:val="00EC103D"/>
    <w:rsid w:val="00EC1578"/>
    <w:rsid w:val="00EC1BAC"/>
    <w:rsid w:val="00EC1C72"/>
    <w:rsid w:val="00EC1D73"/>
    <w:rsid w:val="00EC2B13"/>
    <w:rsid w:val="00EC3453"/>
    <w:rsid w:val="00EC3CC9"/>
    <w:rsid w:val="00EC4CB1"/>
    <w:rsid w:val="00EC5144"/>
    <w:rsid w:val="00EC5787"/>
    <w:rsid w:val="00EC680A"/>
    <w:rsid w:val="00EC7865"/>
    <w:rsid w:val="00EC7C80"/>
    <w:rsid w:val="00EC7F0E"/>
    <w:rsid w:val="00ED081C"/>
    <w:rsid w:val="00ED16ED"/>
    <w:rsid w:val="00ED21EC"/>
    <w:rsid w:val="00ED2302"/>
    <w:rsid w:val="00ED2B97"/>
    <w:rsid w:val="00ED351A"/>
    <w:rsid w:val="00ED39F3"/>
    <w:rsid w:val="00ED3E29"/>
    <w:rsid w:val="00ED615C"/>
    <w:rsid w:val="00ED65B6"/>
    <w:rsid w:val="00ED694C"/>
    <w:rsid w:val="00ED74F0"/>
    <w:rsid w:val="00ED75AA"/>
    <w:rsid w:val="00EE0F61"/>
    <w:rsid w:val="00EE0FB8"/>
    <w:rsid w:val="00EE2A8E"/>
    <w:rsid w:val="00EE2BED"/>
    <w:rsid w:val="00EE374B"/>
    <w:rsid w:val="00EE47BB"/>
    <w:rsid w:val="00EE58DD"/>
    <w:rsid w:val="00EE6134"/>
    <w:rsid w:val="00EE6C6D"/>
    <w:rsid w:val="00EE765B"/>
    <w:rsid w:val="00EE7765"/>
    <w:rsid w:val="00EF0109"/>
    <w:rsid w:val="00EF08EB"/>
    <w:rsid w:val="00EF18A4"/>
    <w:rsid w:val="00EF1DBE"/>
    <w:rsid w:val="00EF20A8"/>
    <w:rsid w:val="00EF2E2E"/>
    <w:rsid w:val="00EF47AA"/>
    <w:rsid w:val="00EF6F7C"/>
    <w:rsid w:val="00EF7B6F"/>
    <w:rsid w:val="00EF7DC7"/>
    <w:rsid w:val="00F00728"/>
    <w:rsid w:val="00F007DC"/>
    <w:rsid w:val="00F00CB8"/>
    <w:rsid w:val="00F00E99"/>
    <w:rsid w:val="00F01ACD"/>
    <w:rsid w:val="00F01C8E"/>
    <w:rsid w:val="00F033A7"/>
    <w:rsid w:val="00F03C13"/>
    <w:rsid w:val="00F0453F"/>
    <w:rsid w:val="00F04B47"/>
    <w:rsid w:val="00F04E14"/>
    <w:rsid w:val="00F0526F"/>
    <w:rsid w:val="00F06184"/>
    <w:rsid w:val="00F065BB"/>
    <w:rsid w:val="00F06CF7"/>
    <w:rsid w:val="00F104B9"/>
    <w:rsid w:val="00F11293"/>
    <w:rsid w:val="00F118DE"/>
    <w:rsid w:val="00F11BB5"/>
    <w:rsid w:val="00F1297C"/>
    <w:rsid w:val="00F13C44"/>
    <w:rsid w:val="00F13CF8"/>
    <w:rsid w:val="00F13E05"/>
    <w:rsid w:val="00F1417B"/>
    <w:rsid w:val="00F1639C"/>
    <w:rsid w:val="00F1686C"/>
    <w:rsid w:val="00F16AEE"/>
    <w:rsid w:val="00F16CB7"/>
    <w:rsid w:val="00F17146"/>
    <w:rsid w:val="00F179CA"/>
    <w:rsid w:val="00F20578"/>
    <w:rsid w:val="00F21AF8"/>
    <w:rsid w:val="00F2587F"/>
    <w:rsid w:val="00F26B7A"/>
    <w:rsid w:val="00F30F70"/>
    <w:rsid w:val="00F31A77"/>
    <w:rsid w:val="00F31F48"/>
    <w:rsid w:val="00F32691"/>
    <w:rsid w:val="00F32B34"/>
    <w:rsid w:val="00F330AD"/>
    <w:rsid w:val="00F33666"/>
    <w:rsid w:val="00F34371"/>
    <w:rsid w:val="00F34B99"/>
    <w:rsid w:val="00F34BD7"/>
    <w:rsid w:val="00F34E1C"/>
    <w:rsid w:val="00F35735"/>
    <w:rsid w:val="00F36589"/>
    <w:rsid w:val="00F378E4"/>
    <w:rsid w:val="00F37A46"/>
    <w:rsid w:val="00F40743"/>
    <w:rsid w:val="00F40B49"/>
    <w:rsid w:val="00F4136B"/>
    <w:rsid w:val="00F419CA"/>
    <w:rsid w:val="00F41A5F"/>
    <w:rsid w:val="00F41FB7"/>
    <w:rsid w:val="00F422E6"/>
    <w:rsid w:val="00F42CEC"/>
    <w:rsid w:val="00F43824"/>
    <w:rsid w:val="00F44F53"/>
    <w:rsid w:val="00F45E42"/>
    <w:rsid w:val="00F469BD"/>
    <w:rsid w:val="00F4775E"/>
    <w:rsid w:val="00F50460"/>
    <w:rsid w:val="00F50941"/>
    <w:rsid w:val="00F52DAB"/>
    <w:rsid w:val="00F5331D"/>
    <w:rsid w:val="00F53BD6"/>
    <w:rsid w:val="00F53DC0"/>
    <w:rsid w:val="00F543F0"/>
    <w:rsid w:val="00F54B16"/>
    <w:rsid w:val="00F54FA8"/>
    <w:rsid w:val="00F550EE"/>
    <w:rsid w:val="00F55316"/>
    <w:rsid w:val="00F559D0"/>
    <w:rsid w:val="00F5724B"/>
    <w:rsid w:val="00F575F3"/>
    <w:rsid w:val="00F57802"/>
    <w:rsid w:val="00F57C09"/>
    <w:rsid w:val="00F6030C"/>
    <w:rsid w:val="00F6082F"/>
    <w:rsid w:val="00F61EB2"/>
    <w:rsid w:val="00F624AC"/>
    <w:rsid w:val="00F62B47"/>
    <w:rsid w:val="00F650CD"/>
    <w:rsid w:val="00F66E71"/>
    <w:rsid w:val="00F67A48"/>
    <w:rsid w:val="00F70981"/>
    <w:rsid w:val="00F70F6C"/>
    <w:rsid w:val="00F73F0D"/>
    <w:rsid w:val="00F74AA8"/>
    <w:rsid w:val="00F76847"/>
    <w:rsid w:val="00F7771C"/>
    <w:rsid w:val="00F81206"/>
    <w:rsid w:val="00F81BB5"/>
    <w:rsid w:val="00F81D29"/>
    <w:rsid w:val="00F81FC5"/>
    <w:rsid w:val="00F8203E"/>
    <w:rsid w:val="00F8302D"/>
    <w:rsid w:val="00F83A9C"/>
    <w:rsid w:val="00F85C68"/>
    <w:rsid w:val="00F86961"/>
    <w:rsid w:val="00F86A6A"/>
    <w:rsid w:val="00F8782E"/>
    <w:rsid w:val="00F91A80"/>
    <w:rsid w:val="00F91C4D"/>
    <w:rsid w:val="00F92FD9"/>
    <w:rsid w:val="00F933ED"/>
    <w:rsid w:val="00F93BEF"/>
    <w:rsid w:val="00F94380"/>
    <w:rsid w:val="00F94770"/>
    <w:rsid w:val="00FA009B"/>
    <w:rsid w:val="00FA0565"/>
    <w:rsid w:val="00FA0EA7"/>
    <w:rsid w:val="00FA2E49"/>
    <w:rsid w:val="00FA3400"/>
    <w:rsid w:val="00FA4A0D"/>
    <w:rsid w:val="00FA4B47"/>
    <w:rsid w:val="00FA5AE9"/>
    <w:rsid w:val="00FA6684"/>
    <w:rsid w:val="00FA731E"/>
    <w:rsid w:val="00FB07AC"/>
    <w:rsid w:val="00FB2B38"/>
    <w:rsid w:val="00FB323D"/>
    <w:rsid w:val="00FB3769"/>
    <w:rsid w:val="00FB3F55"/>
    <w:rsid w:val="00FB4C61"/>
    <w:rsid w:val="00FB4F2D"/>
    <w:rsid w:val="00FB5E0E"/>
    <w:rsid w:val="00FB73F7"/>
    <w:rsid w:val="00FB7A14"/>
    <w:rsid w:val="00FB7F70"/>
    <w:rsid w:val="00FC17F4"/>
    <w:rsid w:val="00FC1C5F"/>
    <w:rsid w:val="00FC1E3F"/>
    <w:rsid w:val="00FC2310"/>
    <w:rsid w:val="00FC2B3F"/>
    <w:rsid w:val="00FC332C"/>
    <w:rsid w:val="00FC41E9"/>
    <w:rsid w:val="00FC4908"/>
    <w:rsid w:val="00FC4AD9"/>
    <w:rsid w:val="00FC4DDB"/>
    <w:rsid w:val="00FC4FEF"/>
    <w:rsid w:val="00FC5190"/>
    <w:rsid w:val="00FC542F"/>
    <w:rsid w:val="00FC5850"/>
    <w:rsid w:val="00FC6358"/>
    <w:rsid w:val="00FC6561"/>
    <w:rsid w:val="00FC6F3D"/>
    <w:rsid w:val="00FC6FED"/>
    <w:rsid w:val="00FD0C6E"/>
    <w:rsid w:val="00FD0E7C"/>
    <w:rsid w:val="00FD1D2E"/>
    <w:rsid w:val="00FD1DF8"/>
    <w:rsid w:val="00FD26D6"/>
    <w:rsid w:val="00FD29E3"/>
    <w:rsid w:val="00FD320D"/>
    <w:rsid w:val="00FD321C"/>
    <w:rsid w:val="00FD3B65"/>
    <w:rsid w:val="00FD42CD"/>
    <w:rsid w:val="00FD6AF5"/>
    <w:rsid w:val="00FD72D6"/>
    <w:rsid w:val="00FE0446"/>
    <w:rsid w:val="00FE0784"/>
    <w:rsid w:val="00FE156D"/>
    <w:rsid w:val="00FE18A2"/>
    <w:rsid w:val="00FE23DE"/>
    <w:rsid w:val="00FE25D1"/>
    <w:rsid w:val="00FE3852"/>
    <w:rsid w:val="00FE4144"/>
    <w:rsid w:val="00FE4C95"/>
    <w:rsid w:val="00FE54AF"/>
    <w:rsid w:val="00FE5836"/>
    <w:rsid w:val="00FE5ABC"/>
    <w:rsid w:val="00FE7FCF"/>
    <w:rsid w:val="00FF03F7"/>
    <w:rsid w:val="00FF17AE"/>
    <w:rsid w:val="00FF3A10"/>
    <w:rsid w:val="00FF467D"/>
    <w:rsid w:val="00FF4E51"/>
    <w:rsid w:val="00FF51C0"/>
    <w:rsid w:val="00FF5982"/>
    <w:rsid w:val="00FF7518"/>
    <w:rsid w:val="012A7410"/>
    <w:rsid w:val="017847D8"/>
    <w:rsid w:val="01AB302E"/>
    <w:rsid w:val="01AC6146"/>
    <w:rsid w:val="01B76EF3"/>
    <w:rsid w:val="020B6CFA"/>
    <w:rsid w:val="0246240E"/>
    <w:rsid w:val="02634625"/>
    <w:rsid w:val="02764415"/>
    <w:rsid w:val="027F49FA"/>
    <w:rsid w:val="028C76E4"/>
    <w:rsid w:val="02901891"/>
    <w:rsid w:val="03AD7C37"/>
    <w:rsid w:val="03B472A7"/>
    <w:rsid w:val="03CC057F"/>
    <w:rsid w:val="040E4592"/>
    <w:rsid w:val="041F054D"/>
    <w:rsid w:val="043E27E3"/>
    <w:rsid w:val="04D02842"/>
    <w:rsid w:val="04F3592C"/>
    <w:rsid w:val="051C15A7"/>
    <w:rsid w:val="051E7477"/>
    <w:rsid w:val="05281683"/>
    <w:rsid w:val="05486CBE"/>
    <w:rsid w:val="06184080"/>
    <w:rsid w:val="06385531"/>
    <w:rsid w:val="06B77E74"/>
    <w:rsid w:val="06C81D7A"/>
    <w:rsid w:val="06D870D9"/>
    <w:rsid w:val="07125861"/>
    <w:rsid w:val="073D7A55"/>
    <w:rsid w:val="077371A5"/>
    <w:rsid w:val="077D4B84"/>
    <w:rsid w:val="07847F96"/>
    <w:rsid w:val="07B230DA"/>
    <w:rsid w:val="07ED7673"/>
    <w:rsid w:val="083D625E"/>
    <w:rsid w:val="0850325F"/>
    <w:rsid w:val="08593068"/>
    <w:rsid w:val="08660958"/>
    <w:rsid w:val="08B8188C"/>
    <w:rsid w:val="08C47E38"/>
    <w:rsid w:val="08E65ADD"/>
    <w:rsid w:val="09861C5D"/>
    <w:rsid w:val="098E6BBD"/>
    <w:rsid w:val="0A002BD7"/>
    <w:rsid w:val="0A626A43"/>
    <w:rsid w:val="0A6749FB"/>
    <w:rsid w:val="0B1A0193"/>
    <w:rsid w:val="0B1D3384"/>
    <w:rsid w:val="0B2B54DC"/>
    <w:rsid w:val="0B316DB7"/>
    <w:rsid w:val="0BB7550F"/>
    <w:rsid w:val="0BFF7A49"/>
    <w:rsid w:val="0C1D31F0"/>
    <w:rsid w:val="0C373E07"/>
    <w:rsid w:val="0C4E04F4"/>
    <w:rsid w:val="0C551CB7"/>
    <w:rsid w:val="0C654F6B"/>
    <w:rsid w:val="0CE916F8"/>
    <w:rsid w:val="0CEE143E"/>
    <w:rsid w:val="0D0C0FC8"/>
    <w:rsid w:val="0D3E7753"/>
    <w:rsid w:val="0D4B4161"/>
    <w:rsid w:val="0D777D70"/>
    <w:rsid w:val="0DB0389C"/>
    <w:rsid w:val="0F6C4ACC"/>
    <w:rsid w:val="0F7FB21B"/>
    <w:rsid w:val="0FA45228"/>
    <w:rsid w:val="0FBC7D00"/>
    <w:rsid w:val="0FC6607D"/>
    <w:rsid w:val="0FFF1E6B"/>
    <w:rsid w:val="10477EC2"/>
    <w:rsid w:val="10582190"/>
    <w:rsid w:val="105A360A"/>
    <w:rsid w:val="105E503F"/>
    <w:rsid w:val="106A2ADF"/>
    <w:rsid w:val="106D6790"/>
    <w:rsid w:val="10EC4059"/>
    <w:rsid w:val="11497659"/>
    <w:rsid w:val="117B6A88"/>
    <w:rsid w:val="119F38AB"/>
    <w:rsid w:val="11FC47A9"/>
    <w:rsid w:val="12026A61"/>
    <w:rsid w:val="1214674B"/>
    <w:rsid w:val="12B116F2"/>
    <w:rsid w:val="12F72F33"/>
    <w:rsid w:val="12FE19F9"/>
    <w:rsid w:val="13201BEB"/>
    <w:rsid w:val="13597521"/>
    <w:rsid w:val="13B433D9"/>
    <w:rsid w:val="13F3F465"/>
    <w:rsid w:val="140D0D8B"/>
    <w:rsid w:val="146D25A5"/>
    <w:rsid w:val="14C27A2E"/>
    <w:rsid w:val="14C8457B"/>
    <w:rsid w:val="15215BD0"/>
    <w:rsid w:val="15A534A5"/>
    <w:rsid w:val="15BC7DDB"/>
    <w:rsid w:val="15C01464"/>
    <w:rsid w:val="15E008CD"/>
    <w:rsid w:val="1618304E"/>
    <w:rsid w:val="16373697"/>
    <w:rsid w:val="165741CD"/>
    <w:rsid w:val="166F2AB6"/>
    <w:rsid w:val="16893F4C"/>
    <w:rsid w:val="176522C3"/>
    <w:rsid w:val="1777330C"/>
    <w:rsid w:val="179B01BA"/>
    <w:rsid w:val="17E7717C"/>
    <w:rsid w:val="18065B69"/>
    <w:rsid w:val="18A72B4C"/>
    <w:rsid w:val="194854E7"/>
    <w:rsid w:val="198A449E"/>
    <w:rsid w:val="1A020998"/>
    <w:rsid w:val="1A3B51FE"/>
    <w:rsid w:val="1A4308AD"/>
    <w:rsid w:val="1A4F5C17"/>
    <w:rsid w:val="1A6E6346"/>
    <w:rsid w:val="1A727ABE"/>
    <w:rsid w:val="1AB93A21"/>
    <w:rsid w:val="1B0A3110"/>
    <w:rsid w:val="1BC65245"/>
    <w:rsid w:val="1BCD0437"/>
    <w:rsid w:val="1BE314C5"/>
    <w:rsid w:val="1C454471"/>
    <w:rsid w:val="1C482566"/>
    <w:rsid w:val="1C7D1E5D"/>
    <w:rsid w:val="1CC7132A"/>
    <w:rsid w:val="1D236108"/>
    <w:rsid w:val="1D2522C5"/>
    <w:rsid w:val="1D296673"/>
    <w:rsid w:val="1D42020B"/>
    <w:rsid w:val="1D44297A"/>
    <w:rsid w:val="1D4E37F9"/>
    <w:rsid w:val="1D865BD7"/>
    <w:rsid w:val="1D8F532B"/>
    <w:rsid w:val="1DF57F8B"/>
    <w:rsid w:val="1E017E9D"/>
    <w:rsid w:val="1E0E622A"/>
    <w:rsid w:val="1E3323C2"/>
    <w:rsid w:val="1E5A25BE"/>
    <w:rsid w:val="1E933BB9"/>
    <w:rsid w:val="1FAB788C"/>
    <w:rsid w:val="1FE17669"/>
    <w:rsid w:val="20233E1C"/>
    <w:rsid w:val="207C6A0F"/>
    <w:rsid w:val="20874C01"/>
    <w:rsid w:val="20AA60EA"/>
    <w:rsid w:val="2136664A"/>
    <w:rsid w:val="21EF7FF6"/>
    <w:rsid w:val="21F4263A"/>
    <w:rsid w:val="224A27E1"/>
    <w:rsid w:val="224E6B20"/>
    <w:rsid w:val="225A6D6D"/>
    <w:rsid w:val="22BE4F7D"/>
    <w:rsid w:val="22CC023E"/>
    <w:rsid w:val="22FA1D6D"/>
    <w:rsid w:val="23237684"/>
    <w:rsid w:val="23660E98"/>
    <w:rsid w:val="23DA7B95"/>
    <w:rsid w:val="245416F5"/>
    <w:rsid w:val="24B211DA"/>
    <w:rsid w:val="24DF178C"/>
    <w:rsid w:val="24FA21B0"/>
    <w:rsid w:val="25257535"/>
    <w:rsid w:val="2528182E"/>
    <w:rsid w:val="25286458"/>
    <w:rsid w:val="257876DF"/>
    <w:rsid w:val="262D65CC"/>
    <w:rsid w:val="26A2445F"/>
    <w:rsid w:val="26D11723"/>
    <w:rsid w:val="26F045DA"/>
    <w:rsid w:val="26FA391C"/>
    <w:rsid w:val="270B42E3"/>
    <w:rsid w:val="27165388"/>
    <w:rsid w:val="27772329"/>
    <w:rsid w:val="277E52D7"/>
    <w:rsid w:val="27862337"/>
    <w:rsid w:val="27B46230"/>
    <w:rsid w:val="27E61F4D"/>
    <w:rsid w:val="281671FE"/>
    <w:rsid w:val="287A36F4"/>
    <w:rsid w:val="287B6449"/>
    <w:rsid w:val="28934FE3"/>
    <w:rsid w:val="28CC193E"/>
    <w:rsid w:val="28E76127"/>
    <w:rsid w:val="28EC385F"/>
    <w:rsid w:val="291C4178"/>
    <w:rsid w:val="29BD68F4"/>
    <w:rsid w:val="29DD30FB"/>
    <w:rsid w:val="29EE439A"/>
    <w:rsid w:val="2A017A93"/>
    <w:rsid w:val="2A0F6457"/>
    <w:rsid w:val="2A636B36"/>
    <w:rsid w:val="2AA00B6D"/>
    <w:rsid w:val="2AB0563F"/>
    <w:rsid w:val="2AB85979"/>
    <w:rsid w:val="2ACB60FF"/>
    <w:rsid w:val="2AF9470D"/>
    <w:rsid w:val="2B016354"/>
    <w:rsid w:val="2B512E32"/>
    <w:rsid w:val="2B537CFB"/>
    <w:rsid w:val="2B7803BF"/>
    <w:rsid w:val="2B8005C0"/>
    <w:rsid w:val="2B804898"/>
    <w:rsid w:val="2B8D3C04"/>
    <w:rsid w:val="2BD32DD8"/>
    <w:rsid w:val="2C001136"/>
    <w:rsid w:val="2C0767BA"/>
    <w:rsid w:val="2C1A61E3"/>
    <w:rsid w:val="2C3275DA"/>
    <w:rsid w:val="2C9D04F1"/>
    <w:rsid w:val="2CE57407"/>
    <w:rsid w:val="2CF90807"/>
    <w:rsid w:val="2D3C315E"/>
    <w:rsid w:val="2DB52BA5"/>
    <w:rsid w:val="2DBA4CE3"/>
    <w:rsid w:val="2E310CF9"/>
    <w:rsid w:val="2E7319F4"/>
    <w:rsid w:val="2E752B08"/>
    <w:rsid w:val="2F9037FD"/>
    <w:rsid w:val="2FC278C9"/>
    <w:rsid w:val="2FC81E15"/>
    <w:rsid w:val="2FF21978"/>
    <w:rsid w:val="2FFF73FA"/>
    <w:rsid w:val="3012195F"/>
    <w:rsid w:val="30122471"/>
    <w:rsid w:val="308139D0"/>
    <w:rsid w:val="3092251C"/>
    <w:rsid w:val="30B6590C"/>
    <w:rsid w:val="30CD60A4"/>
    <w:rsid w:val="30D80ED4"/>
    <w:rsid w:val="30DD0CC4"/>
    <w:rsid w:val="31894FAA"/>
    <w:rsid w:val="319C1A54"/>
    <w:rsid w:val="31C40E45"/>
    <w:rsid w:val="32381445"/>
    <w:rsid w:val="327732BF"/>
    <w:rsid w:val="32A97C34"/>
    <w:rsid w:val="32E346B8"/>
    <w:rsid w:val="3301513E"/>
    <w:rsid w:val="333F5C66"/>
    <w:rsid w:val="33481C91"/>
    <w:rsid w:val="33A40F21"/>
    <w:rsid w:val="33C544A3"/>
    <w:rsid w:val="34083264"/>
    <w:rsid w:val="34106270"/>
    <w:rsid w:val="341D0B89"/>
    <w:rsid w:val="34387E8D"/>
    <w:rsid w:val="34742BFC"/>
    <w:rsid w:val="34AE3AF6"/>
    <w:rsid w:val="35115B7B"/>
    <w:rsid w:val="35633E8E"/>
    <w:rsid w:val="358C1F5D"/>
    <w:rsid w:val="35C820DA"/>
    <w:rsid w:val="35FC785C"/>
    <w:rsid w:val="36835E6A"/>
    <w:rsid w:val="36A73CBB"/>
    <w:rsid w:val="36C706B3"/>
    <w:rsid w:val="372F5765"/>
    <w:rsid w:val="37364BBA"/>
    <w:rsid w:val="377402F4"/>
    <w:rsid w:val="37E9342E"/>
    <w:rsid w:val="37FE1C4C"/>
    <w:rsid w:val="385B0AC8"/>
    <w:rsid w:val="3878544D"/>
    <w:rsid w:val="388B3B14"/>
    <w:rsid w:val="38A35EFE"/>
    <w:rsid w:val="38D71361"/>
    <w:rsid w:val="38F06A82"/>
    <w:rsid w:val="39113C01"/>
    <w:rsid w:val="398B5FE9"/>
    <w:rsid w:val="39930ABA"/>
    <w:rsid w:val="3A6C38E7"/>
    <w:rsid w:val="3AC65F52"/>
    <w:rsid w:val="3ACF5B21"/>
    <w:rsid w:val="3AE43F14"/>
    <w:rsid w:val="3B7049AC"/>
    <w:rsid w:val="3B7F2CF4"/>
    <w:rsid w:val="3BD6712E"/>
    <w:rsid w:val="3BDD16FC"/>
    <w:rsid w:val="3BDE699D"/>
    <w:rsid w:val="3BF340A3"/>
    <w:rsid w:val="3BFF2436"/>
    <w:rsid w:val="3C754902"/>
    <w:rsid w:val="3C9420EE"/>
    <w:rsid w:val="3CF22410"/>
    <w:rsid w:val="3CFA3395"/>
    <w:rsid w:val="3D0D2EA6"/>
    <w:rsid w:val="3D0E7470"/>
    <w:rsid w:val="3D7351F8"/>
    <w:rsid w:val="3D7565AC"/>
    <w:rsid w:val="3D7D0F4E"/>
    <w:rsid w:val="3DAB2C19"/>
    <w:rsid w:val="3DE947A0"/>
    <w:rsid w:val="3E367920"/>
    <w:rsid w:val="3E3E2F6F"/>
    <w:rsid w:val="3E41699E"/>
    <w:rsid w:val="3E575A1A"/>
    <w:rsid w:val="3E5F09B6"/>
    <w:rsid w:val="3E7859A1"/>
    <w:rsid w:val="3E927592"/>
    <w:rsid w:val="3EB33475"/>
    <w:rsid w:val="3ED76BAE"/>
    <w:rsid w:val="3EEEDCAA"/>
    <w:rsid w:val="3F613CD2"/>
    <w:rsid w:val="402E2B99"/>
    <w:rsid w:val="40330901"/>
    <w:rsid w:val="40781A79"/>
    <w:rsid w:val="40A079FF"/>
    <w:rsid w:val="40F94E9E"/>
    <w:rsid w:val="41036EC2"/>
    <w:rsid w:val="412A7813"/>
    <w:rsid w:val="41477862"/>
    <w:rsid w:val="418E4D08"/>
    <w:rsid w:val="41AD4BA7"/>
    <w:rsid w:val="42005E65"/>
    <w:rsid w:val="423401D5"/>
    <w:rsid w:val="4244567F"/>
    <w:rsid w:val="42F006E3"/>
    <w:rsid w:val="43146675"/>
    <w:rsid w:val="43264A95"/>
    <w:rsid w:val="436E12A1"/>
    <w:rsid w:val="43815A1B"/>
    <w:rsid w:val="43D87215"/>
    <w:rsid w:val="4406576F"/>
    <w:rsid w:val="44476729"/>
    <w:rsid w:val="446E563E"/>
    <w:rsid w:val="44BA5CA4"/>
    <w:rsid w:val="44CB7D77"/>
    <w:rsid w:val="44D422B0"/>
    <w:rsid w:val="45375564"/>
    <w:rsid w:val="45581040"/>
    <w:rsid w:val="45DC10F2"/>
    <w:rsid w:val="45E62E6E"/>
    <w:rsid w:val="46431172"/>
    <w:rsid w:val="46F12C00"/>
    <w:rsid w:val="47073CE4"/>
    <w:rsid w:val="471A7334"/>
    <w:rsid w:val="474307FA"/>
    <w:rsid w:val="475C073D"/>
    <w:rsid w:val="47882151"/>
    <w:rsid w:val="47E35A5C"/>
    <w:rsid w:val="48925112"/>
    <w:rsid w:val="48A759E8"/>
    <w:rsid w:val="48F96E05"/>
    <w:rsid w:val="493C0135"/>
    <w:rsid w:val="497520D8"/>
    <w:rsid w:val="49B214B3"/>
    <w:rsid w:val="49E3239F"/>
    <w:rsid w:val="49F07782"/>
    <w:rsid w:val="49FF2AB9"/>
    <w:rsid w:val="4A0D5D1E"/>
    <w:rsid w:val="4A124180"/>
    <w:rsid w:val="4A1B48DF"/>
    <w:rsid w:val="4A3F47B0"/>
    <w:rsid w:val="4A7C0F83"/>
    <w:rsid w:val="4A8A53F9"/>
    <w:rsid w:val="4A9B480A"/>
    <w:rsid w:val="4AAA11CE"/>
    <w:rsid w:val="4AC000BF"/>
    <w:rsid w:val="4B991F60"/>
    <w:rsid w:val="4BC55547"/>
    <w:rsid w:val="4C3C52DA"/>
    <w:rsid w:val="4CB701C3"/>
    <w:rsid w:val="4CEA0599"/>
    <w:rsid w:val="4CFE5060"/>
    <w:rsid w:val="4D097F86"/>
    <w:rsid w:val="4D166FEB"/>
    <w:rsid w:val="4D2D6517"/>
    <w:rsid w:val="4D4D6CBC"/>
    <w:rsid w:val="4D6E2C2C"/>
    <w:rsid w:val="4D956757"/>
    <w:rsid w:val="4DC4756B"/>
    <w:rsid w:val="4DDF5C24"/>
    <w:rsid w:val="4E0328F8"/>
    <w:rsid w:val="4E6A7577"/>
    <w:rsid w:val="4E792926"/>
    <w:rsid w:val="4F835786"/>
    <w:rsid w:val="4F8931A4"/>
    <w:rsid w:val="4FA55872"/>
    <w:rsid w:val="503E013E"/>
    <w:rsid w:val="50C327FF"/>
    <w:rsid w:val="50DE714D"/>
    <w:rsid w:val="50EB3F99"/>
    <w:rsid w:val="510D2D6D"/>
    <w:rsid w:val="51823496"/>
    <w:rsid w:val="51D82C42"/>
    <w:rsid w:val="51D92D98"/>
    <w:rsid w:val="526D3CF9"/>
    <w:rsid w:val="53634C01"/>
    <w:rsid w:val="53772339"/>
    <w:rsid w:val="539E6906"/>
    <w:rsid w:val="53A2397B"/>
    <w:rsid w:val="53FD4E05"/>
    <w:rsid w:val="54DC002E"/>
    <w:rsid w:val="54FB8FFC"/>
    <w:rsid w:val="55081F04"/>
    <w:rsid w:val="5513575D"/>
    <w:rsid w:val="553E7FBB"/>
    <w:rsid w:val="555A2E58"/>
    <w:rsid w:val="55712408"/>
    <w:rsid w:val="557C78FD"/>
    <w:rsid w:val="55A14D04"/>
    <w:rsid w:val="55C67DB3"/>
    <w:rsid w:val="55D87B28"/>
    <w:rsid w:val="55FA00C3"/>
    <w:rsid w:val="560D7E61"/>
    <w:rsid w:val="561113ED"/>
    <w:rsid w:val="56120094"/>
    <w:rsid w:val="56C121CB"/>
    <w:rsid w:val="56F031A2"/>
    <w:rsid w:val="57120E18"/>
    <w:rsid w:val="572172AD"/>
    <w:rsid w:val="572B00B2"/>
    <w:rsid w:val="57641E80"/>
    <w:rsid w:val="576C676A"/>
    <w:rsid w:val="57C15BDD"/>
    <w:rsid w:val="57CE6245"/>
    <w:rsid w:val="57D305F8"/>
    <w:rsid w:val="57E257F2"/>
    <w:rsid w:val="583228A1"/>
    <w:rsid w:val="58EF5858"/>
    <w:rsid w:val="598471F5"/>
    <w:rsid w:val="59F061F0"/>
    <w:rsid w:val="5A053DD6"/>
    <w:rsid w:val="5A364E1D"/>
    <w:rsid w:val="5A5733F9"/>
    <w:rsid w:val="5AC97A40"/>
    <w:rsid w:val="5AFC7CE1"/>
    <w:rsid w:val="5B431D6A"/>
    <w:rsid w:val="5B9D3E24"/>
    <w:rsid w:val="5BB30234"/>
    <w:rsid w:val="5BBF67DD"/>
    <w:rsid w:val="5C666EAE"/>
    <w:rsid w:val="5C94155D"/>
    <w:rsid w:val="5CB10748"/>
    <w:rsid w:val="5CC757DC"/>
    <w:rsid w:val="5CDE3309"/>
    <w:rsid w:val="5D121C0B"/>
    <w:rsid w:val="5D30024A"/>
    <w:rsid w:val="5D3A1131"/>
    <w:rsid w:val="5D3EE842"/>
    <w:rsid w:val="5DB625CB"/>
    <w:rsid w:val="5DE7D04C"/>
    <w:rsid w:val="5DF8953B"/>
    <w:rsid w:val="5E1C1D45"/>
    <w:rsid w:val="5E2B34F9"/>
    <w:rsid w:val="5E690ADA"/>
    <w:rsid w:val="5E6D3843"/>
    <w:rsid w:val="5E9E76BF"/>
    <w:rsid w:val="5EA222CA"/>
    <w:rsid w:val="5EE74938"/>
    <w:rsid w:val="5F460195"/>
    <w:rsid w:val="5F6F3ABB"/>
    <w:rsid w:val="5F9B7375"/>
    <w:rsid w:val="5F9E6A1C"/>
    <w:rsid w:val="5FE3677F"/>
    <w:rsid w:val="5FFF2B61"/>
    <w:rsid w:val="60914613"/>
    <w:rsid w:val="609713C0"/>
    <w:rsid w:val="60C33C13"/>
    <w:rsid w:val="60CE2BCF"/>
    <w:rsid w:val="60E43569"/>
    <w:rsid w:val="60E72DA8"/>
    <w:rsid w:val="61046B91"/>
    <w:rsid w:val="618E6F0E"/>
    <w:rsid w:val="61983673"/>
    <w:rsid w:val="61F1F756"/>
    <w:rsid w:val="61FE6DD0"/>
    <w:rsid w:val="63022D30"/>
    <w:rsid w:val="63894210"/>
    <w:rsid w:val="63966764"/>
    <w:rsid w:val="63F6182F"/>
    <w:rsid w:val="63FF5BFD"/>
    <w:rsid w:val="64341A4B"/>
    <w:rsid w:val="64537D6D"/>
    <w:rsid w:val="65130C89"/>
    <w:rsid w:val="65262BE9"/>
    <w:rsid w:val="65511117"/>
    <w:rsid w:val="65711053"/>
    <w:rsid w:val="65801643"/>
    <w:rsid w:val="65AD2209"/>
    <w:rsid w:val="65DBB446"/>
    <w:rsid w:val="65DE6A22"/>
    <w:rsid w:val="663B2885"/>
    <w:rsid w:val="66832A58"/>
    <w:rsid w:val="66AF441F"/>
    <w:rsid w:val="66E214A4"/>
    <w:rsid w:val="6737004C"/>
    <w:rsid w:val="67390809"/>
    <w:rsid w:val="674C7D15"/>
    <w:rsid w:val="6763478E"/>
    <w:rsid w:val="67841C57"/>
    <w:rsid w:val="67876ABC"/>
    <w:rsid w:val="67CC2C5A"/>
    <w:rsid w:val="67FFF4E9"/>
    <w:rsid w:val="681845E8"/>
    <w:rsid w:val="684F0173"/>
    <w:rsid w:val="68675646"/>
    <w:rsid w:val="688C23E1"/>
    <w:rsid w:val="688F753A"/>
    <w:rsid w:val="68912C7C"/>
    <w:rsid w:val="68D55C5E"/>
    <w:rsid w:val="697463EB"/>
    <w:rsid w:val="69E32BEF"/>
    <w:rsid w:val="6A143814"/>
    <w:rsid w:val="6A6A591A"/>
    <w:rsid w:val="6B3B684A"/>
    <w:rsid w:val="6B721A2E"/>
    <w:rsid w:val="6BD07984"/>
    <w:rsid w:val="6C077157"/>
    <w:rsid w:val="6C0E3E02"/>
    <w:rsid w:val="6C597151"/>
    <w:rsid w:val="6CBE317C"/>
    <w:rsid w:val="6CC70893"/>
    <w:rsid w:val="6CC83EF9"/>
    <w:rsid w:val="6CFC7126"/>
    <w:rsid w:val="6D9914E3"/>
    <w:rsid w:val="6DB06CBB"/>
    <w:rsid w:val="6DFD5F26"/>
    <w:rsid w:val="6E1014BB"/>
    <w:rsid w:val="6E502D6A"/>
    <w:rsid w:val="6F253CBD"/>
    <w:rsid w:val="6F4A256C"/>
    <w:rsid w:val="6F557C1E"/>
    <w:rsid w:val="6FB31BC3"/>
    <w:rsid w:val="6FD1766A"/>
    <w:rsid w:val="6FD67867"/>
    <w:rsid w:val="6FF6C20B"/>
    <w:rsid w:val="6FFE7376"/>
    <w:rsid w:val="70480D43"/>
    <w:rsid w:val="704E7AC4"/>
    <w:rsid w:val="70CA725D"/>
    <w:rsid w:val="70E85003"/>
    <w:rsid w:val="7152029B"/>
    <w:rsid w:val="71927F52"/>
    <w:rsid w:val="71C11019"/>
    <w:rsid w:val="71D24B9B"/>
    <w:rsid w:val="722708FC"/>
    <w:rsid w:val="72E94EE8"/>
    <w:rsid w:val="72FE68A0"/>
    <w:rsid w:val="731F6D84"/>
    <w:rsid w:val="735E0B13"/>
    <w:rsid w:val="737B01BE"/>
    <w:rsid w:val="73976076"/>
    <w:rsid w:val="7399F6CE"/>
    <w:rsid w:val="739D72FF"/>
    <w:rsid w:val="73A579B0"/>
    <w:rsid w:val="73EE3497"/>
    <w:rsid w:val="74017DF2"/>
    <w:rsid w:val="742223AD"/>
    <w:rsid w:val="74543E13"/>
    <w:rsid w:val="74932683"/>
    <w:rsid w:val="75756716"/>
    <w:rsid w:val="75EF0A26"/>
    <w:rsid w:val="768431FB"/>
    <w:rsid w:val="7694692D"/>
    <w:rsid w:val="770A213F"/>
    <w:rsid w:val="775CB972"/>
    <w:rsid w:val="77AC669B"/>
    <w:rsid w:val="77C5FDB4"/>
    <w:rsid w:val="77E912C9"/>
    <w:rsid w:val="7822258C"/>
    <w:rsid w:val="78B12BEB"/>
    <w:rsid w:val="78C83F89"/>
    <w:rsid w:val="78D759F8"/>
    <w:rsid w:val="78E0413A"/>
    <w:rsid w:val="78FD421B"/>
    <w:rsid w:val="796F7525"/>
    <w:rsid w:val="79CA168C"/>
    <w:rsid w:val="7A2D35FA"/>
    <w:rsid w:val="7A3E0FA3"/>
    <w:rsid w:val="7AB23BF5"/>
    <w:rsid w:val="7AD4000F"/>
    <w:rsid w:val="7AF5692B"/>
    <w:rsid w:val="7B1C60CD"/>
    <w:rsid w:val="7B6156D4"/>
    <w:rsid w:val="7B7B54DA"/>
    <w:rsid w:val="7B7EB1B7"/>
    <w:rsid w:val="7BBE067B"/>
    <w:rsid w:val="7BF859D9"/>
    <w:rsid w:val="7C1F61AB"/>
    <w:rsid w:val="7C3F1DE0"/>
    <w:rsid w:val="7C5F1A2D"/>
    <w:rsid w:val="7CA103C5"/>
    <w:rsid w:val="7CC540B3"/>
    <w:rsid w:val="7CD75B94"/>
    <w:rsid w:val="7CFE1F19"/>
    <w:rsid w:val="7CFE6519"/>
    <w:rsid w:val="7CFF1BD6"/>
    <w:rsid w:val="7D1022BE"/>
    <w:rsid w:val="7D2756B3"/>
    <w:rsid w:val="7D931D94"/>
    <w:rsid w:val="7D980FE7"/>
    <w:rsid w:val="7DAA7424"/>
    <w:rsid w:val="7DEC566F"/>
    <w:rsid w:val="7DED12A4"/>
    <w:rsid w:val="7DFB18F9"/>
    <w:rsid w:val="7DFDBFFF"/>
    <w:rsid w:val="7DFF806D"/>
    <w:rsid w:val="7DFFE7D3"/>
    <w:rsid w:val="7E2A23CB"/>
    <w:rsid w:val="7E71F9A3"/>
    <w:rsid w:val="7E7F9565"/>
    <w:rsid w:val="7E97389E"/>
    <w:rsid w:val="7EB7E2D8"/>
    <w:rsid w:val="7EDC83B9"/>
    <w:rsid w:val="7EF7ED1A"/>
    <w:rsid w:val="7EFDB882"/>
    <w:rsid w:val="7F2F61D4"/>
    <w:rsid w:val="7F682C39"/>
    <w:rsid w:val="7F6C0C06"/>
    <w:rsid w:val="7F718FDF"/>
    <w:rsid w:val="7F7F6470"/>
    <w:rsid w:val="7F81447E"/>
    <w:rsid w:val="7F8738A2"/>
    <w:rsid w:val="7FBFFC56"/>
    <w:rsid w:val="7FD90FB5"/>
    <w:rsid w:val="7FDDD7EA"/>
    <w:rsid w:val="7FECC674"/>
    <w:rsid w:val="7FFF4E00"/>
    <w:rsid w:val="913F7983"/>
    <w:rsid w:val="A38D5D8C"/>
    <w:rsid w:val="ABFF3F86"/>
    <w:rsid w:val="B7EF676E"/>
    <w:rsid w:val="C97FD96E"/>
    <w:rsid w:val="D57BD680"/>
    <w:rsid w:val="D6FCEBFF"/>
    <w:rsid w:val="D7FA6300"/>
    <w:rsid w:val="DCFF1852"/>
    <w:rsid w:val="DF4FE048"/>
    <w:rsid w:val="DFFCB908"/>
    <w:rsid w:val="E3CF81F8"/>
    <w:rsid w:val="E4FB2E2E"/>
    <w:rsid w:val="E537F715"/>
    <w:rsid w:val="EBFE4255"/>
    <w:rsid w:val="ECFE2190"/>
    <w:rsid w:val="EDF7321C"/>
    <w:rsid w:val="EF9F3F83"/>
    <w:rsid w:val="EFBF2D5B"/>
    <w:rsid w:val="F55FB8B6"/>
    <w:rsid w:val="F5FF2AD7"/>
    <w:rsid w:val="F67F5F1B"/>
    <w:rsid w:val="F97F2A08"/>
    <w:rsid w:val="FBEBCE46"/>
    <w:rsid w:val="FBFFA395"/>
    <w:rsid w:val="FDDF3AD9"/>
    <w:rsid w:val="FDFA07CB"/>
    <w:rsid w:val="FEF9AC8E"/>
    <w:rsid w:val="FFED8B89"/>
    <w:rsid w:val="FFF72ACF"/>
    <w:rsid w:val="FFF7DE2F"/>
    <w:rsid w:val="FFFD9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4"/>
    <w:qFormat/>
    <w:uiPriority w:val="9"/>
    <w:pPr>
      <w:spacing w:beforeAutospacing="1" w:afterAutospacing="1"/>
      <w:jc w:val="left"/>
      <w:outlineLvl w:val="0"/>
    </w:pPr>
    <w:rPr>
      <w:rFonts w:hint="eastAsia" w:ascii="宋体" w:hAnsi="宋体"/>
      <w:b/>
      <w:kern w:val="44"/>
      <w:sz w:val="48"/>
      <w:szCs w:val="48"/>
    </w:rPr>
  </w:style>
  <w:style w:type="paragraph" w:styleId="3">
    <w:name w:val="heading 2"/>
    <w:basedOn w:val="1"/>
    <w:next w:val="1"/>
    <w:link w:val="162"/>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9"/>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semiHidden/>
    <w:qFormat/>
    <w:uiPriority w:val="0"/>
    <w:pPr>
      <w:tabs>
        <w:tab w:val="right" w:leader="dot" w:pos="9241"/>
      </w:tabs>
      <w:ind w:firstLine="505" w:firstLineChars="500"/>
      <w:jc w:val="left"/>
    </w:pPr>
    <w:rPr>
      <w:rFonts w:ascii="宋体"/>
      <w:szCs w:val="21"/>
    </w:rPr>
  </w:style>
  <w:style w:type="paragraph" w:styleId="7">
    <w:name w:val="index 8"/>
    <w:basedOn w:val="1"/>
    <w:next w:val="1"/>
    <w:qFormat/>
    <w:uiPriority w:val="0"/>
    <w:pPr>
      <w:ind w:left="1680" w:hanging="210"/>
      <w:jc w:val="left"/>
    </w:pPr>
    <w:rPr>
      <w:rFonts w:ascii="Calibri" w:hAnsi="Calibri"/>
      <w:sz w:val="20"/>
      <w:szCs w:val="20"/>
    </w:rPr>
  </w:style>
  <w:style w:type="paragraph" w:styleId="8">
    <w:name w:val="caption"/>
    <w:basedOn w:val="1"/>
    <w:next w:val="1"/>
    <w:qFormat/>
    <w:uiPriority w:val="0"/>
    <w:pPr>
      <w:spacing w:before="152" w:after="160"/>
    </w:pPr>
    <w:rPr>
      <w:rFonts w:ascii="Arial" w:hAnsi="Arial" w:eastAsia="黑体" w:cs="Arial"/>
      <w:sz w:val="20"/>
      <w:szCs w:val="20"/>
    </w:rPr>
  </w:style>
  <w:style w:type="paragraph" w:styleId="9">
    <w:name w:val="index 5"/>
    <w:basedOn w:val="1"/>
    <w:next w:val="1"/>
    <w:qFormat/>
    <w:uiPriority w:val="0"/>
    <w:pPr>
      <w:ind w:left="1050" w:hanging="210"/>
      <w:jc w:val="left"/>
    </w:pPr>
    <w:rPr>
      <w:rFonts w:ascii="Calibri" w:hAnsi="Calibri"/>
      <w:sz w:val="20"/>
      <w:szCs w:val="20"/>
    </w:rPr>
  </w:style>
  <w:style w:type="paragraph" w:styleId="10">
    <w:name w:val="Document Map"/>
    <w:basedOn w:val="1"/>
    <w:semiHidden/>
    <w:qFormat/>
    <w:uiPriority w:val="0"/>
    <w:pPr>
      <w:shd w:val="clear" w:color="auto" w:fill="000080"/>
    </w:pPr>
  </w:style>
  <w:style w:type="paragraph" w:styleId="11">
    <w:name w:val="annotation text"/>
    <w:basedOn w:val="1"/>
    <w:link w:val="53"/>
    <w:qFormat/>
    <w:uiPriority w:val="0"/>
    <w:pPr>
      <w:jc w:val="left"/>
    </w:pPr>
  </w:style>
  <w:style w:type="paragraph" w:styleId="12">
    <w:name w:val="index 6"/>
    <w:basedOn w:val="1"/>
    <w:next w:val="1"/>
    <w:qFormat/>
    <w:uiPriority w:val="0"/>
    <w:pPr>
      <w:ind w:left="1260" w:hanging="210"/>
      <w:jc w:val="left"/>
    </w:pPr>
    <w:rPr>
      <w:rFonts w:ascii="Calibri" w:hAnsi="Calibri"/>
      <w:sz w:val="20"/>
      <w:szCs w:val="20"/>
    </w:rPr>
  </w:style>
  <w:style w:type="paragraph" w:styleId="13">
    <w:name w:val="Body Text"/>
    <w:basedOn w:val="1"/>
    <w:link w:val="221"/>
    <w:qFormat/>
    <w:uiPriority w:val="1"/>
    <w:rPr>
      <w:rFonts w:ascii="Arial" w:hAnsi="Arial" w:eastAsia="Arial" w:cs="Arial"/>
      <w:szCs w:val="21"/>
      <w:lang w:eastAsia="en-US"/>
    </w:rPr>
  </w:style>
  <w:style w:type="paragraph" w:styleId="14">
    <w:name w:val="index 4"/>
    <w:basedOn w:val="1"/>
    <w:next w:val="1"/>
    <w:qFormat/>
    <w:uiPriority w:val="0"/>
    <w:pPr>
      <w:ind w:left="840" w:hanging="210"/>
      <w:jc w:val="left"/>
    </w:pPr>
    <w:rPr>
      <w:rFonts w:ascii="Calibri" w:hAnsi="Calibri"/>
      <w:sz w:val="20"/>
      <w:szCs w:val="20"/>
    </w:rPr>
  </w:style>
  <w:style w:type="paragraph" w:styleId="15">
    <w:name w:val="toc 5"/>
    <w:basedOn w:val="1"/>
    <w:next w:val="1"/>
    <w:semiHidden/>
    <w:qFormat/>
    <w:uiPriority w:val="0"/>
    <w:pPr>
      <w:tabs>
        <w:tab w:val="right" w:leader="dot" w:pos="9241"/>
      </w:tabs>
      <w:ind w:firstLine="300" w:firstLineChars="300"/>
      <w:jc w:val="left"/>
    </w:pPr>
    <w:rPr>
      <w:rFonts w:ascii="宋体"/>
      <w:szCs w:val="21"/>
    </w:rPr>
  </w:style>
  <w:style w:type="paragraph" w:styleId="16">
    <w:name w:val="toc 3"/>
    <w:basedOn w:val="1"/>
    <w:next w:val="1"/>
    <w:qFormat/>
    <w:uiPriority w:val="39"/>
    <w:pPr>
      <w:tabs>
        <w:tab w:val="right" w:leader="dot" w:pos="9241"/>
      </w:tabs>
      <w:ind w:firstLine="102" w:firstLineChars="100"/>
      <w:jc w:val="left"/>
    </w:pPr>
    <w:rPr>
      <w:rFonts w:ascii="宋体"/>
      <w:szCs w:val="21"/>
    </w:rPr>
  </w:style>
  <w:style w:type="paragraph" w:styleId="17">
    <w:name w:val="toc 8"/>
    <w:basedOn w:val="1"/>
    <w:next w:val="1"/>
    <w:semiHidden/>
    <w:qFormat/>
    <w:uiPriority w:val="0"/>
    <w:pPr>
      <w:tabs>
        <w:tab w:val="right" w:leader="dot" w:pos="9241"/>
      </w:tabs>
      <w:ind w:firstLine="607" w:firstLineChars="600"/>
      <w:jc w:val="left"/>
    </w:pPr>
    <w:rPr>
      <w:rFonts w:ascii="宋体"/>
      <w:szCs w:val="21"/>
    </w:rPr>
  </w:style>
  <w:style w:type="paragraph" w:styleId="18">
    <w:name w:val="index 3"/>
    <w:basedOn w:val="1"/>
    <w:next w:val="1"/>
    <w:qFormat/>
    <w:uiPriority w:val="0"/>
    <w:pPr>
      <w:ind w:left="630" w:hanging="210"/>
      <w:jc w:val="left"/>
    </w:pPr>
    <w:rPr>
      <w:rFonts w:ascii="Calibri" w:hAnsi="Calibri"/>
      <w:sz w:val="20"/>
      <w:szCs w:val="20"/>
    </w:rPr>
  </w:style>
  <w:style w:type="paragraph" w:styleId="19">
    <w:name w:val="Date"/>
    <w:basedOn w:val="1"/>
    <w:next w:val="1"/>
    <w:link w:val="151"/>
    <w:qFormat/>
    <w:uiPriority w:val="0"/>
    <w:pPr>
      <w:ind w:left="100" w:leftChars="2500"/>
    </w:pPr>
  </w:style>
  <w:style w:type="paragraph" w:styleId="20">
    <w:name w:val="endnote text"/>
    <w:basedOn w:val="1"/>
    <w:semiHidden/>
    <w:qFormat/>
    <w:uiPriority w:val="0"/>
    <w:pPr>
      <w:snapToGrid w:val="0"/>
      <w:jc w:val="left"/>
    </w:pPr>
  </w:style>
  <w:style w:type="paragraph" w:styleId="21">
    <w:name w:val="Balloon Text"/>
    <w:basedOn w:val="1"/>
    <w:link w:val="51"/>
    <w:qFormat/>
    <w:uiPriority w:val="0"/>
    <w:rPr>
      <w:sz w:val="18"/>
      <w:szCs w:val="18"/>
    </w:rPr>
  </w:style>
  <w:style w:type="paragraph" w:styleId="22">
    <w:name w:val="footer"/>
    <w:basedOn w:val="1"/>
    <w:link w:val="224"/>
    <w:qFormat/>
    <w:uiPriority w:val="99"/>
    <w:pPr>
      <w:snapToGrid w:val="0"/>
      <w:ind w:right="210" w:rightChars="100"/>
      <w:jc w:val="right"/>
    </w:pPr>
    <w:rPr>
      <w:sz w:val="18"/>
      <w:szCs w:val="18"/>
    </w:rPr>
  </w:style>
  <w:style w:type="paragraph" w:styleId="23">
    <w:name w:val="header"/>
    <w:basedOn w:val="1"/>
    <w:link w:val="223"/>
    <w:qFormat/>
    <w:uiPriority w:val="99"/>
    <w:pPr>
      <w:snapToGrid w:val="0"/>
      <w:jc w:val="left"/>
    </w:pPr>
    <w:rPr>
      <w:sz w:val="18"/>
      <w:szCs w:val="18"/>
    </w:rPr>
  </w:style>
  <w:style w:type="paragraph" w:styleId="24">
    <w:name w:val="toc 1"/>
    <w:basedOn w:val="1"/>
    <w:next w:val="1"/>
    <w:qFormat/>
    <w:uiPriority w:val="39"/>
    <w:pPr>
      <w:tabs>
        <w:tab w:val="right" w:leader="dot" w:pos="9241"/>
      </w:tabs>
      <w:spacing w:beforeLines="25" w:afterLines="25"/>
      <w:jc w:val="left"/>
    </w:pPr>
    <w:rPr>
      <w:rFonts w:ascii="宋体"/>
      <w:szCs w:val="21"/>
    </w:rPr>
  </w:style>
  <w:style w:type="paragraph" w:styleId="25">
    <w:name w:val="toc 4"/>
    <w:basedOn w:val="1"/>
    <w:next w:val="1"/>
    <w:qFormat/>
    <w:uiPriority w:val="39"/>
    <w:pPr>
      <w:tabs>
        <w:tab w:val="right" w:leader="dot" w:pos="9241"/>
      </w:tabs>
      <w:ind w:firstLine="198" w:firstLineChars="200"/>
      <w:jc w:val="left"/>
    </w:pPr>
    <w:rPr>
      <w:rFonts w:ascii="宋体"/>
      <w:szCs w:val="21"/>
    </w:rPr>
  </w:style>
  <w:style w:type="paragraph" w:styleId="26">
    <w:name w:val="index heading"/>
    <w:basedOn w:val="1"/>
    <w:next w:val="27"/>
    <w:qFormat/>
    <w:uiPriority w:val="0"/>
    <w:pPr>
      <w:spacing w:before="120" w:after="120"/>
      <w:jc w:val="center"/>
    </w:pPr>
    <w:rPr>
      <w:rFonts w:ascii="Calibri" w:hAnsi="Calibri"/>
      <w:b/>
      <w:bCs/>
      <w:iCs/>
      <w:szCs w:val="20"/>
    </w:rPr>
  </w:style>
  <w:style w:type="paragraph" w:styleId="27">
    <w:name w:val="index 1"/>
    <w:basedOn w:val="1"/>
    <w:next w:val="28"/>
    <w:qFormat/>
    <w:uiPriority w:val="0"/>
    <w:pPr>
      <w:tabs>
        <w:tab w:val="right" w:leader="dot" w:pos="9299"/>
      </w:tabs>
      <w:jc w:val="left"/>
    </w:pPr>
    <w:rPr>
      <w:rFonts w:ascii="宋体"/>
      <w:szCs w:val="21"/>
    </w:rPr>
  </w:style>
  <w:style w:type="paragraph" w:customStyle="1" w:styleId="28">
    <w:name w:val="段"/>
    <w:link w:val="5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9">
    <w:name w:val="footnote text"/>
    <w:basedOn w:val="1"/>
    <w:qFormat/>
    <w:uiPriority w:val="0"/>
    <w:pPr>
      <w:tabs>
        <w:tab w:val="left" w:pos="0"/>
      </w:tabs>
      <w:snapToGrid w:val="0"/>
      <w:ind w:left="720" w:hanging="357"/>
      <w:jc w:val="left"/>
    </w:pPr>
    <w:rPr>
      <w:rFonts w:ascii="宋体"/>
      <w:sz w:val="18"/>
      <w:szCs w:val="18"/>
    </w:rPr>
  </w:style>
  <w:style w:type="paragraph" w:styleId="30">
    <w:name w:val="toc 6"/>
    <w:basedOn w:val="1"/>
    <w:next w:val="1"/>
    <w:semiHidden/>
    <w:qFormat/>
    <w:uiPriority w:val="0"/>
    <w:pPr>
      <w:tabs>
        <w:tab w:val="right" w:leader="dot" w:pos="9241"/>
      </w:tabs>
      <w:ind w:firstLine="403" w:firstLineChars="400"/>
      <w:jc w:val="left"/>
    </w:pPr>
    <w:rPr>
      <w:rFonts w:ascii="宋体"/>
      <w:szCs w:val="21"/>
    </w:rPr>
  </w:style>
  <w:style w:type="paragraph" w:styleId="31">
    <w:name w:val="index 7"/>
    <w:basedOn w:val="1"/>
    <w:next w:val="1"/>
    <w:qFormat/>
    <w:uiPriority w:val="0"/>
    <w:pPr>
      <w:ind w:left="1470" w:hanging="210"/>
      <w:jc w:val="left"/>
    </w:pPr>
    <w:rPr>
      <w:rFonts w:ascii="Calibri" w:hAnsi="Calibri"/>
      <w:sz w:val="20"/>
      <w:szCs w:val="20"/>
    </w:rPr>
  </w:style>
  <w:style w:type="paragraph" w:styleId="32">
    <w:name w:val="index 9"/>
    <w:basedOn w:val="1"/>
    <w:next w:val="1"/>
    <w:qFormat/>
    <w:uiPriority w:val="0"/>
    <w:pPr>
      <w:ind w:left="1890" w:hanging="210"/>
      <w:jc w:val="left"/>
    </w:pPr>
    <w:rPr>
      <w:rFonts w:ascii="Calibri" w:hAnsi="Calibri"/>
      <w:sz w:val="20"/>
      <w:szCs w:val="20"/>
    </w:rPr>
  </w:style>
  <w:style w:type="paragraph" w:styleId="33">
    <w:name w:val="toc 2"/>
    <w:basedOn w:val="1"/>
    <w:next w:val="1"/>
    <w:qFormat/>
    <w:uiPriority w:val="39"/>
    <w:pPr>
      <w:tabs>
        <w:tab w:val="right" w:leader="dot" w:pos="9241"/>
      </w:tabs>
    </w:pPr>
    <w:rPr>
      <w:rFonts w:ascii="宋体"/>
      <w:szCs w:val="21"/>
    </w:rPr>
  </w:style>
  <w:style w:type="paragraph" w:styleId="34">
    <w:name w:val="toc 9"/>
    <w:basedOn w:val="1"/>
    <w:next w:val="1"/>
    <w:semiHidden/>
    <w:qFormat/>
    <w:uiPriority w:val="0"/>
    <w:pPr>
      <w:ind w:left="1470"/>
      <w:jc w:val="left"/>
    </w:pPr>
    <w:rPr>
      <w:sz w:val="20"/>
      <w:szCs w:val="20"/>
    </w:rPr>
  </w:style>
  <w:style w:type="paragraph" w:styleId="3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6">
    <w:name w:val="index 2"/>
    <w:basedOn w:val="1"/>
    <w:next w:val="1"/>
    <w:qFormat/>
    <w:uiPriority w:val="0"/>
    <w:pPr>
      <w:ind w:left="420" w:hanging="210"/>
      <w:jc w:val="left"/>
    </w:pPr>
    <w:rPr>
      <w:rFonts w:ascii="Calibri" w:hAnsi="Calibri"/>
      <w:sz w:val="20"/>
      <w:szCs w:val="20"/>
    </w:rPr>
  </w:style>
  <w:style w:type="paragraph" w:styleId="37">
    <w:name w:val="annotation subject"/>
    <w:basedOn w:val="11"/>
    <w:next w:val="11"/>
    <w:link w:val="54"/>
    <w:qFormat/>
    <w:uiPriority w:val="0"/>
    <w:rPr>
      <w:b/>
      <w:bCs/>
    </w:rPr>
  </w:style>
  <w:style w:type="table" w:styleId="39">
    <w:name w:val="Table Grid"/>
    <w:basedOn w:val="38"/>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1">
    <w:name w:val="Strong"/>
    <w:basedOn w:val="40"/>
    <w:qFormat/>
    <w:uiPriority w:val="0"/>
    <w:rPr>
      <w:b/>
    </w:rPr>
  </w:style>
  <w:style w:type="character" w:styleId="42">
    <w:name w:val="endnote reference"/>
    <w:basedOn w:val="40"/>
    <w:semiHidden/>
    <w:qFormat/>
    <w:uiPriority w:val="0"/>
    <w:rPr>
      <w:vertAlign w:val="superscript"/>
    </w:rPr>
  </w:style>
  <w:style w:type="character" w:styleId="43">
    <w:name w:val="page number"/>
    <w:basedOn w:val="40"/>
    <w:qFormat/>
    <w:uiPriority w:val="0"/>
    <w:rPr>
      <w:rFonts w:ascii="Times New Roman" w:hAnsi="Times New Roman" w:eastAsia="宋体"/>
      <w:sz w:val="18"/>
    </w:rPr>
  </w:style>
  <w:style w:type="character" w:styleId="44">
    <w:name w:val="FollowedHyperlink"/>
    <w:basedOn w:val="40"/>
    <w:qFormat/>
    <w:uiPriority w:val="99"/>
    <w:rPr>
      <w:color w:val="800080"/>
      <w:u w:val="single"/>
    </w:rPr>
  </w:style>
  <w:style w:type="character" w:styleId="45">
    <w:name w:val="Emphasis"/>
    <w:basedOn w:val="40"/>
    <w:qFormat/>
    <w:uiPriority w:val="20"/>
    <w:rPr>
      <w:i/>
      <w:iCs/>
    </w:rPr>
  </w:style>
  <w:style w:type="character" w:styleId="46">
    <w:name w:val="Hyperlink"/>
    <w:basedOn w:val="40"/>
    <w:qFormat/>
    <w:uiPriority w:val="99"/>
    <w:rPr>
      <w:color w:val="0000FF"/>
      <w:spacing w:val="0"/>
      <w:w w:val="100"/>
      <w:szCs w:val="21"/>
      <w:u w:val="single"/>
      <w:lang w:val="en-US" w:eastAsia="zh-CN"/>
    </w:rPr>
  </w:style>
  <w:style w:type="character" w:styleId="47">
    <w:name w:val="annotation reference"/>
    <w:basedOn w:val="40"/>
    <w:qFormat/>
    <w:uiPriority w:val="0"/>
    <w:rPr>
      <w:sz w:val="21"/>
      <w:szCs w:val="21"/>
    </w:rPr>
  </w:style>
  <w:style w:type="character" w:styleId="48">
    <w:name w:val="footnote reference"/>
    <w:basedOn w:val="40"/>
    <w:semiHidden/>
    <w:qFormat/>
    <w:uiPriority w:val="0"/>
    <w:rPr>
      <w:vertAlign w:val="superscript"/>
    </w:rPr>
  </w:style>
  <w:style w:type="character" w:customStyle="1" w:styleId="49">
    <w:name w:val="标题 3 字符"/>
    <w:basedOn w:val="40"/>
    <w:link w:val="4"/>
    <w:semiHidden/>
    <w:qFormat/>
    <w:uiPriority w:val="0"/>
    <w:rPr>
      <w:b/>
      <w:bCs/>
      <w:kern w:val="2"/>
      <w:sz w:val="32"/>
      <w:szCs w:val="32"/>
    </w:rPr>
  </w:style>
  <w:style w:type="character" w:customStyle="1" w:styleId="50">
    <w:name w:val="发布"/>
    <w:basedOn w:val="40"/>
    <w:qFormat/>
    <w:uiPriority w:val="0"/>
    <w:rPr>
      <w:rFonts w:ascii="黑体" w:eastAsia="黑体"/>
      <w:spacing w:val="85"/>
      <w:w w:val="100"/>
      <w:position w:val="3"/>
      <w:sz w:val="28"/>
      <w:szCs w:val="28"/>
    </w:rPr>
  </w:style>
  <w:style w:type="character" w:customStyle="1" w:styleId="51">
    <w:name w:val="批注框文本 字符"/>
    <w:basedOn w:val="40"/>
    <w:link w:val="21"/>
    <w:qFormat/>
    <w:uiPriority w:val="0"/>
    <w:rPr>
      <w:kern w:val="2"/>
      <w:sz w:val="18"/>
      <w:szCs w:val="18"/>
    </w:rPr>
  </w:style>
  <w:style w:type="character" w:customStyle="1" w:styleId="52">
    <w:name w:val="段 Char"/>
    <w:basedOn w:val="40"/>
    <w:link w:val="28"/>
    <w:qFormat/>
    <w:uiPriority w:val="0"/>
    <w:rPr>
      <w:rFonts w:ascii="宋体"/>
      <w:sz w:val="21"/>
      <w:lang w:val="en-US" w:eastAsia="zh-CN" w:bidi="ar-SA"/>
    </w:rPr>
  </w:style>
  <w:style w:type="character" w:customStyle="1" w:styleId="53">
    <w:name w:val="批注文字 字符"/>
    <w:basedOn w:val="40"/>
    <w:link w:val="11"/>
    <w:qFormat/>
    <w:uiPriority w:val="0"/>
    <w:rPr>
      <w:kern w:val="2"/>
      <w:sz w:val="21"/>
      <w:szCs w:val="24"/>
    </w:rPr>
  </w:style>
  <w:style w:type="character" w:customStyle="1" w:styleId="54">
    <w:name w:val="批注主题 字符"/>
    <w:basedOn w:val="53"/>
    <w:link w:val="37"/>
    <w:qFormat/>
    <w:uiPriority w:val="0"/>
    <w:rPr>
      <w:b/>
      <w:bCs/>
      <w:kern w:val="2"/>
      <w:sz w:val="21"/>
      <w:szCs w:val="24"/>
    </w:rPr>
  </w:style>
  <w:style w:type="character" w:customStyle="1" w:styleId="55">
    <w:name w:val="首示例 Char"/>
    <w:basedOn w:val="40"/>
    <w:link w:val="56"/>
    <w:qFormat/>
    <w:uiPriority w:val="0"/>
    <w:rPr>
      <w:rFonts w:ascii="宋体" w:hAnsi="宋体"/>
      <w:kern w:val="2"/>
      <w:sz w:val="18"/>
      <w:szCs w:val="18"/>
    </w:rPr>
  </w:style>
  <w:style w:type="paragraph" w:customStyle="1" w:styleId="56">
    <w:name w:val="首示例"/>
    <w:next w:val="28"/>
    <w:link w:val="55"/>
    <w:qFormat/>
    <w:uiPriority w:val="0"/>
    <w:pPr>
      <w:tabs>
        <w:tab w:val="left" w:pos="360"/>
      </w:tabs>
    </w:pPr>
    <w:rPr>
      <w:rFonts w:ascii="宋体" w:hAnsi="宋体" w:eastAsia="宋体" w:cs="Times New Roman"/>
      <w:kern w:val="2"/>
      <w:sz w:val="18"/>
      <w:szCs w:val="18"/>
      <w:lang w:val="en-US" w:eastAsia="zh-CN" w:bidi="ar-SA"/>
    </w:rPr>
  </w:style>
  <w:style w:type="character" w:customStyle="1" w:styleId="57">
    <w:name w:val="附录公式 Char"/>
    <w:basedOn w:val="52"/>
    <w:link w:val="58"/>
    <w:qFormat/>
    <w:uiPriority w:val="0"/>
    <w:rPr>
      <w:rFonts w:ascii="宋体"/>
      <w:sz w:val="21"/>
      <w:lang w:val="en-US" w:eastAsia="zh-CN" w:bidi="ar-SA"/>
    </w:rPr>
  </w:style>
  <w:style w:type="paragraph" w:customStyle="1" w:styleId="58">
    <w:name w:val="附录公式"/>
    <w:basedOn w:val="28"/>
    <w:next w:val="28"/>
    <w:link w:val="57"/>
    <w:qFormat/>
    <w:uiPriority w:val="0"/>
  </w:style>
  <w:style w:type="paragraph" w:customStyle="1" w:styleId="59">
    <w:name w:val="附录图标题"/>
    <w:basedOn w:val="1"/>
    <w:next w:val="28"/>
    <w:qFormat/>
    <w:uiPriority w:val="0"/>
    <w:pPr>
      <w:tabs>
        <w:tab w:val="left" w:pos="363"/>
      </w:tabs>
      <w:spacing w:beforeLines="50" w:afterLines="50"/>
      <w:jc w:val="center"/>
    </w:pPr>
    <w:rPr>
      <w:rFonts w:ascii="黑体" w:eastAsia="黑体"/>
      <w:szCs w:val="21"/>
    </w:rPr>
  </w:style>
  <w:style w:type="paragraph" w:customStyle="1" w:styleId="60">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1">
    <w:name w:val="列项——（一级）"/>
    <w:qFormat/>
    <w:uiPriority w:val="0"/>
    <w:pPr>
      <w:widowControl w:val="0"/>
      <w:ind w:left="833" w:hanging="408"/>
      <w:jc w:val="both"/>
    </w:pPr>
    <w:rPr>
      <w:rFonts w:ascii="宋体" w:hAnsi="Times New Roman" w:eastAsia="宋体" w:cs="Times New Roman"/>
      <w:sz w:val="21"/>
      <w:lang w:val="en-US" w:eastAsia="zh-CN" w:bidi="ar-SA"/>
    </w:rPr>
  </w:style>
  <w:style w:type="paragraph" w:customStyle="1" w:styleId="62">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63">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64">
    <w:name w:val="其他发布日期"/>
    <w:basedOn w:val="63"/>
    <w:qFormat/>
    <w:uiPriority w:val="0"/>
    <w:pPr>
      <w:framePr w:wrap="around" w:vAnchor="page" w:hAnchor="text" w:x="1419"/>
    </w:pPr>
  </w:style>
  <w:style w:type="paragraph" w:customStyle="1" w:styleId="65">
    <w:name w:val="附录四级无"/>
    <w:basedOn w:val="66"/>
    <w:qFormat/>
    <w:uiPriority w:val="0"/>
    <w:pPr>
      <w:tabs>
        <w:tab w:val="left" w:pos="360"/>
      </w:tabs>
      <w:spacing w:beforeLines="0" w:afterLines="0"/>
    </w:pPr>
    <w:rPr>
      <w:rFonts w:ascii="宋体" w:eastAsia="宋体"/>
      <w:szCs w:val="21"/>
    </w:rPr>
  </w:style>
  <w:style w:type="paragraph" w:customStyle="1" w:styleId="66">
    <w:name w:val="附录四级条标题"/>
    <w:basedOn w:val="67"/>
    <w:next w:val="28"/>
    <w:qFormat/>
    <w:uiPriority w:val="0"/>
    <w:pPr>
      <w:tabs>
        <w:tab w:val="left" w:pos="360"/>
      </w:tabs>
      <w:outlineLvl w:val="5"/>
    </w:pPr>
  </w:style>
  <w:style w:type="paragraph" w:customStyle="1" w:styleId="67">
    <w:name w:val="附录三级条标题"/>
    <w:basedOn w:val="68"/>
    <w:next w:val="28"/>
    <w:qFormat/>
    <w:uiPriority w:val="0"/>
    <w:pPr>
      <w:tabs>
        <w:tab w:val="left" w:pos="360"/>
      </w:tabs>
      <w:outlineLvl w:val="4"/>
    </w:pPr>
  </w:style>
  <w:style w:type="paragraph" w:customStyle="1" w:styleId="68">
    <w:name w:val="附录二级条标题"/>
    <w:basedOn w:val="1"/>
    <w:next w:val="28"/>
    <w:qFormat/>
    <w:uiPriority w:val="0"/>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69">
    <w:name w:val="二级无"/>
    <w:basedOn w:val="70"/>
    <w:qFormat/>
    <w:uiPriority w:val="0"/>
    <w:pPr>
      <w:spacing w:beforeLines="0" w:afterLines="0"/>
    </w:pPr>
    <w:rPr>
      <w:rFonts w:ascii="宋体" w:eastAsia="宋体"/>
    </w:rPr>
  </w:style>
  <w:style w:type="paragraph" w:customStyle="1" w:styleId="70">
    <w:name w:val="二级条标题"/>
    <w:basedOn w:val="71"/>
    <w:next w:val="28"/>
    <w:qFormat/>
    <w:uiPriority w:val="0"/>
    <w:pPr>
      <w:spacing w:before="50" w:after="50"/>
      <w:outlineLvl w:val="3"/>
    </w:pPr>
  </w:style>
  <w:style w:type="paragraph" w:customStyle="1" w:styleId="71">
    <w:name w:val="一级条标题"/>
    <w:basedOn w:val="72"/>
    <w:next w:val="28"/>
    <w:link w:val="153"/>
    <w:qFormat/>
    <w:uiPriority w:val="99"/>
    <w:pPr>
      <w:spacing w:beforeLines="50" w:afterLines="50"/>
      <w:outlineLvl w:val="2"/>
    </w:pPr>
    <w:rPr>
      <w:szCs w:val="21"/>
    </w:rPr>
  </w:style>
  <w:style w:type="paragraph" w:customStyle="1" w:styleId="72">
    <w:name w:val="章标题"/>
    <w:next w:val="28"/>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73">
    <w:name w:val="字母编号列项（一级）"/>
    <w:link w:val="152"/>
    <w:qFormat/>
    <w:uiPriority w:val="0"/>
    <w:pPr>
      <w:tabs>
        <w:tab w:val="left" w:pos="840"/>
      </w:tabs>
      <w:jc w:val="both"/>
    </w:pPr>
    <w:rPr>
      <w:rFonts w:ascii="宋体" w:hAnsi="Times New Roman" w:eastAsia="宋体" w:cs="Times New Roman"/>
      <w:sz w:val="21"/>
      <w:lang w:val="en-US" w:eastAsia="zh-CN" w:bidi="ar-SA"/>
    </w:rPr>
  </w:style>
  <w:style w:type="paragraph" w:customStyle="1" w:styleId="74">
    <w:name w:val="四级条标题"/>
    <w:basedOn w:val="75"/>
    <w:next w:val="28"/>
    <w:qFormat/>
    <w:uiPriority w:val="0"/>
    <w:pPr>
      <w:outlineLvl w:val="5"/>
    </w:pPr>
  </w:style>
  <w:style w:type="paragraph" w:customStyle="1" w:styleId="75">
    <w:name w:val="三级条标题"/>
    <w:basedOn w:val="70"/>
    <w:next w:val="28"/>
    <w:qFormat/>
    <w:uiPriority w:val="0"/>
    <w:pPr>
      <w:outlineLvl w:val="4"/>
    </w:pPr>
  </w:style>
  <w:style w:type="paragraph" w:customStyle="1" w:styleId="76">
    <w:name w:val="其他标准标志"/>
    <w:basedOn w:val="60"/>
    <w:qFormat/>
    <w:uiPriority w:val="0"/>
    <w:pPr>
      <w:framePr w:w="6101" w:wrap="around" w:vAnchor="page" w:hAnchor="page" w:x="4673" w:y="942"/>
    </w:pPr>
    <w:rPr>
      <w:w w:val="130"/>
    </w:rPr>
  </w:style>
  <w:style w:type="paragraph" w:customStyle="1" w:styleId="77">
    <w:name w:val="附录三级无"/>
    <w:basedOn w:val="67"/>
    <w:qFormat/>
    <w:uiPriority w:val="0"/>
    <w:pPr>
      <w:tabs>
        <w:tab w:val="clear" w:pos="360"/>
      </w:tabs>
      <w:spacing w:beforeLines="0" w:afterLines="0"/>
    </w:pPr>
    <w:rPr>
      <w:rFonts w:ascii="宋体" w:eastAsia="宋体"/>
      <w:szCs w:val="21"/>
    </w:rPr>
  </w:style>
  <w:style w:type="paragraph" w:customStyle="1" w:styleId="78">
    <w:name w:val="列项◆（三级）"/>
    <w:basedOn w:val="1"/>
    <w:qFormat/>
    <w:uiPriority w:val="0"/>
    <w:pPr>
      <w:tabs>
        <w:tab w:val="left" w:pos="1678"/>
      </w:tabs>
      <w:ind w:left="1678" w:hanging="414"/>
    </w:pPr>
    <w:rPr>
      <w:rFonts w:ascii="宋体"/>
      <w:szCs w:val="21"/>
    </w:rPr>
  </w:style>
  <w:style w:type="paragraph" w:customStyle="1" w:styleId="79">
    <w:name w:val="附录二级无"/>
    <w:basedOn w:val="68"/>
    <w:qFormat/>
    <w:uiPriority w:val="0"/>
    <w:pPr>
      <w:tabs>
        <w:tab w:val="clear" w:pos="360"/>
      </w:tabs>
      <w:spacing w:beforeLines="0" w:afterLines="0"/>
    </w:pPr>
    <w:rPr>
      <w:rFonts w:ascii="宋体" w:eastAsia="宋体"/>
      <w:szCs w:val="21"/>
    </w:rPr>
  </w:style>
  <w:style w:type="paragraph" w:customStyle="1" w:styleId="80">
    <w:name w:val="五级条标题"/>
    <w:basedOn w:val="74"/>
    <w:next w:val="28"/>
    <w:qFormat/>
    <w:uiPriority w:val="0"/>
    <w:pPr>
      <w:outlineLvl w:val="6"/>
    </w:pPr>
  </w:style>
  <w:style w:type="paragraph" w:customStyle="1" w:styleId="81">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8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83">
    <w:name w:val="附录章标题"/>
    <w:next w:val="28"/>
    <w:qFormat/>
    <w:uiPriority w:val="0"/>
    <w:p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4">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85">
    <w:name w:val="附录图标号"/>
    <w:basedOn w:val="1"/>
    <w:qFormat/>
    <w:uiPriority w:val="0"/>
    <w:pPr>
      <w:keepNext/>
      <w:pageBreakBefore/>
      <w:widowControl/>
      <w:spacing w:line="14" w:lineRule="exact"/>
      <w:ind w:firstLine="363"/>
      <w:jc w:val="center"/>
      <w:outlineLvl w:val="0"/>
    </w:pPr>
    <w:rPr>
      <w:color w:val="FFFFFF"/>
    </w:rPr>
  </w:style>
  <w:style w:type="paragraph" w:customStyle="1" w:styleId="86">
    <w:name w:val="注：（正文）"/>
    <w:basedOn w:val="87"/>
    <w:next w:val="28"/>
    <w:qFormat/>
    <w:uiPriority w:val="0"/>
  </w:style>
  <w:style w:type="paragraph" w:customStyle="1" w:styleId="87">
    <w:name w:val="注："/>
    <w:next w:val="28"/>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88">
    <w:name w:val="示例×："/>
    <w:basedOn w:val="72"/>
    <w:qFormat/>
    <w:uiPriority w:val="0"/>
    <w:pPr>
      <w:spacing w:beforeLines="0" w:afterLines="0"/>
      <w:ind w:firstLine="363"/>
      <w:outlineLvl w:val="9"/>
    </w:pPr>
    <w:rPr>
      <w:rFonts w:ascii="宋体" w:eastAsia="宋体"/>
      <w:sz w:val="18"/>
      <w:szCs w:val="18"/>
    </w:rPr>
  </w:style>
  <w:style w:type="paragraph" w:customStyle="1" w:styleId="89">
    <w:name w:val="条文脚注"/>
    <w:basedOn w:val="29"/>
    <w:qFormat/>
    <w:uiPriority w:val="0"/>
    <w:pPr>
      <w:ind w:left="0" w:firstLine="0"/>
      <w:jc w:val="both"/>
    </w:pPr>
  </w:style>
  <w:style w:type="paragraph" w:customStyle="1" w:styleId="90">
    <w:name w:val="附录标识"/>
    <w:basedOn w:val="1"/>
    <w:next w:val="28"/>
    <w:qFormat/>
    <w:uiPriority w:val="0"/>
    <w:pPr>
      <w:keepNext/>
      <w:widowControl/>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91">
    <w:name w:val="目次、标准名称标题"/>
    <w:basedOn w:val="1"/>
    <w:next w:val="28"/>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92">
    <w:name w:val="示例后文字"/>
    <w:basedOn w:val="28"/>
    <w:next w:val="28"/>
    <w:qFormat/>
    <w:uiPriority w:val="0"/>
    <w:pPr>
      <w:ind w:firstLine="360"/>
    </w:pPr>
    <w:rPr>
      <w:sz w:val="18"/>
    </w:rPr>
  </w:style>
  <w:style w:type="paragraph" w:customStyle="1" w:styleId="93">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94">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5">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96">
    <w:name w:val="图的脚注"/>
    <w:next w:val="28"/>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97">
    <w:name w:val="附录表标题"/>
    <w:basedOn w:val="1"/>
    <w:next w:val="28"/>
    <w:qFormat/>
    <w:uiPriority w:val="0"/>
    <w:pPr>
      <w:tabs>
        <w:tab w:val="left" w:pos="180"/>
      </w:tabs>
      <w:spacing w:beforeLines="50" w:afterLines="50"/>
      <w:jc w:val="center"/>
    </w:pPr>
    <w:rPr>
      <w:rFonts w:ascii="黑体" w:eastAsia="黑体"/>
      <w:szCs w:val="21"/>
    </w:rPr>
  </w:style>
  <w:style w:type="paragraph" w:customStyle="1" w:styleId="98">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99">
    <w:name w:val="列项●（二级）"/>
    <w:qFormat/>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100">
    <w:name w:val="封面正文"/>
    <w:qFormat/>
    <w:uiPriority w:val="0"/>
    <w:pPr>
      <w:jc w:val="both"/>
    </w:pPr>
    <w:rPr>
      <w:rFonts w:ascii="Times New Roman" w:hAnsi="Times New Roman" w:eastAsia="宋体" w:cs="Times New Roman"/>
      <w:lang w:val="en-US" w:eastAsia="zh-CN" w:bidi="ar-SA"/>
    </w:rPr>
  </w:style>
  <w:style w:type="paragraph" w:customStyle="1" w:styleId="101">
    <w:name w:val="附录标题"/>
    <w:basedOn w:val="28"/>
    <w:next w:val="28"/>
    <w:qFormat/>
    <w:uiPriority w:val="0"/>
    <w:pPr>
      <w:ind w:firstLine="0" w:firstLineChars="0"/>
      <w:jc w:val="center"/>
    </w:pPr>
    <w:rPr>
      <w:rFonts w:ascii="黑体" w:eastAsia="黑体"/>
    </w:rPr>
  </w:style>
  <w:style w:type="paragraph" w:customStyle="1" w:styleId="102">
    <w:name w:val="示例"/>
    <w:next w:val="98"/>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03">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04">
    <w:name w:val="图表脚注说明"/>
    <w:basedOn w:val="1"/>
    <w:qFormat/>
    <w:uiPriority w:val="0"/>
    <w:pPr>
      <w:ind w:left="544" w:hanging="181"/>
    </w:pPr>
    <w:rPr>
      <w:rFonts w:ascii="宋体"/>
      <w:sz w:val="18"/>
      <w:szCs w:val="18"/>
    </w:rPr>
  </w:style>
  <w:style w:type="paragraph" w:customStyle="1" w:styleId="105">
    <w:name w:val="数字编号列项（二级）"/>
    <w:qFormat/>
    <w:uiPriority w:val="0"/>
    <w:pPr>
      <w:numPr>
        <w:ilvl w:val="1"/>
        <w:numId w:val="1"/>
      </w:numPr>
      <w:tabs>
        <w:tab w:val="left" w:pos="840"/>
      </w:tabs>
      <w:jc w:val="both"/>
    </w:pPr>
    <w:rPr>
      <w:rFonts w:ascii="宋体" w:hAnsi="Times New Roman" w:eastAsia="宋体" w:cs="Times New Roman"/>
      <w:sz w:val="21"/>
      <w:lang w:val="en-US" w:eastAsia="zh-CN" w:bidi="ar-SA"/>
    </w:rPr>
  </w:style>
  <w:style w:type="paragraph" w:customStyle="1" w:styleId="106">
    <w:name w:val="封面标准名称2"/>
    <w:basedOn w:val="107"/>
    <w:qFormat/>
    <w:uiPriority w:val="0"/>
    <w:pPr>
      <w:framePr w:wrap="around" w:y="4469"/>
      <w:spacing w:beforeLines="630"/>
    </w:pPr>
  </w:style>
  <w:style w:type="paragraph" w:customStyle="1" w:styleId="107">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08">
    <w:name w:val="注×：（正文）"/>
    <w:qFormat/>
    <w:uiPriority w:val="0"/>
    <w:pPr>
      <w:ind w:left="811" w:hanging="448"/>
      <w:jc w:val="both"/>
    </w:pPr>
    <w:rPr>
      <w:rFonts w:ascii="宋体" w:hAnsi="Times New Roman" w:eastAsia="宋体" w:cs="Times New Roman"/>
      <w:sz w:val="18"/>
      <w:szCs w:val="18"/>
      <w:lang w:val="en-US" w:eastAsia="zh-CN" w:bidi="ar-SA"/>
    </w:rPr>
  </w:style>
  <w:style w:type="paragraph" w:customStyle="1" w:styleId="109">
    <w:name w:val="附录数字编号列项（二级）"/>
    <w:qFormat/>
    <w:uiPriority w:val="0"/>
    <w:pPr>
      <w:tabs>
        <w:tab w:val="left" w:pos="840"/>
      </w:tabs>
      <w:ind w:left="839" w:hanging="419"/>
    </w:pPr>
    <w:rPr>
      <w:rFonts w:ascii="宋体" w:hAnsi="Times New Roman" w:eastAsia="宋体" w:cs="Times New Roman"/>
      <w:sz w:val="21"/>
      <w:lang w:val="en-US" w:eastAsia="zh-CN" w:bidi="ar-SA"/>
    </w:rPr>
  </w:style>
  <w:style w:type="paragraph" w:customStyle="1" w:styleId="110">
    <w:name w:val="编号列项（三级）"/>
    <w:qFormat/>
    <w:uiPriority w:val="0"/>
    <w:pPr>
      <w:numPr>
        <w:ilvl w:val="2"/>
        <w:numId w:val="1"/>
      </w:numPr>
      <w:tabs>
        <w:tab w:val="left" w:pos="840"/>
      </w:tabs>
    </w:pPr>
    <w:rPr>
      <w:rFonts w:ascii="宋体" w:hAnsi="Times New Roman" w:eastAsia="宋体" w:cs="Times New Roman"/>
      <w:sz w:val="21"/>
      <w:lang w:val="en-US" w:eastAsia="zh-CN" w:bidi="ar-SA"/>
    </w:rPr>
  </w:style>
  <w:style w:type="paragraph" w:customStyle="1" w:styleId="111">
    <w:name w:val="封面标准文稿类别2"/>
    <w:basedOn w:val="112"/>
    <w:qFormat/>
    <w:uiPriority w:val="0"/>
    <w:pPr>
      <w:framePr w:wrap="around" w:y="4469"/>
    </w:pPr>
  </w:style>
  <w:style w:type="paragraph" w:customStyle="1" w:styleId="112">
    <w:name w:val="封面标准文稿类别"/>
    <w:basedOn w:val="113"/>
    <w:qFormat/>
    <w:uiPriority w:val="0"/>
    <w:pPr>
      <w:framePr w:wrap="around"/>
      <w:spacing w:after="160" w:line="240" w:lineRule="auto"/>
    </w:pPr>
    <w:rPr>
      <w:sz w:val="24"/>
    </w:rPr>
  </w:style>
  <w:style w:type="paragraph" w:customStyle="1" w:styleId="113">
    <w:name w:val="封面一致性程度标识"/>
    <w:basedOn w:val="114"/>
    <w:qFormat/>
    <w:uiPriority w:val="0"/>
    <w:pPr>
      <w:framePr w:wrap="around"/>
      <w:spacing w:before="440"/>
    </w:pPr>
    <w:rPr>
      <w:rFonts w:ascii="宋体" w:eastAsia="宋体"/>
    </w:rPr>
  </w:style>
  <w:style w:type="paragraph" w:customStyle="1" w:styleId="114">
    <w:name w:val="封面标准英文名称"/>
    <w:basedOn w:val="107"/>
    <w:qFormat/>
    <w:uiPriority w:val="0"/>
    <w:pPr>
      <w:framePr w:wrap="around"/>
      <w:spacing w:before="370" w:line="400" w:lineRule="exact"/>
    </w:pPr>
    <w:rPr>
      <w:rFonts w:ascii="Times New Roman"/>
      <w:sz w:val="28"/>
      <w:szCs w:val="28"/>
    </w:rPr>
  </w:style>
  <w:style w:type="paragraph" w:customStyle="1" w:styleId="115">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16">
    <w:name w:val="标准书眉_偶数页"/>
    <w:basedOn w:val="94"/>
    <w:next w:val="1"/>
    <w:qFormat/>
    <w:uiPriority w:val="0"/>
    <w:pPr>
      <w:jc w:val="left"/>
    </w:pPr>
  </w:style>
  <w:style w:type="paragraph" w:customStyle="1" w:styleId="117">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8">
    <w:name w:val="标准书眉一"/>
    <w:qFormat/>
    <w:uiPriority w:val="0"/>
    <w:pPr>
      <w:jc w:val="both"/>
    </w:pPr>
    <w:rPr>
      <w:rFonts w:ascii="Times New Roman" w:hAnsi="Times New Roman" w:eastAsia="宋体" w:cs="Times New Roman"/>
      <w:lang w:val="en-US" w:eastAsia="zh-CN" w:bidi="ar-SA"/>
    </w:rPr>
  </w:style>
  <w:style w:type="paragraph" w:customStyle="1" w:styleId="119">
    <w:name w:val="参考文献"/>
    <w:basedOn w:val="1"/>
    <w:next w:val="28"/>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0">
    <w:name w:val="参考文献、索引标题"/>
    <w:basedOn w:val="1"/>
    <w:next w:val="28"/>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1">
    <w:name w:val="发布部门"/>
    <w:next w:val="28"/>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22">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23">
    <w:name w:val="三级无"/>
    <w:basedOn w:val="75"/>
    <w:qFormat/>
    <w:uiPriority w:val="0"/>
    <w:pPr>
      <w:spacing w:beforeLines="0" w:afterLines="0"/>
    </w:pPr>
    <w:rPr>
      <w:rFonts w:ascii="宋体" w:eastAsia="宋体"/>
    </w:rPr>
  </w:style>
  <w:style w:type="paragraph" w:customStyle="1" w:styleId="124">
    <w:name w:val="实施日期"/>
    <w:basedOn w:val="63"/>
    <w:qFormat/>
    <w:uiPriority w:val="0"/>
    <w:pPr>
      <w:framePr w:wrap="around" w:vAnchor="page" w:hAnchor="text"/>
      <w:jc w:val="right"/>
    </w:pPr>
  </w:style>
  <w:style w:type="paragraph" w:customStyle="1" w:styleId="125">
    <w:name w:val="封面标准文稿编辑信息"/>
    <w:basedOn w:val="112"/>
    <w:qFormat/>
    <w:uiPriority w:val="0"/>
    <w:pPr>
      <w:framePr w:wrap="around"/>
      <w:spacing w:before="180" w:line="180" w:lineRule="exact"/>
    </w:pPr>
    <w:rPr>
      <w:sz w:val="21"/>
    </w:rPr>
  </w:style>
  <w:style w:type="paragraph" w:customStyle="1" w:styleId="126">
    <w:name w:val="图标脚注说明"/>
    <w:basedOn w:val="28"/>
    <w:qFormat/>
    <w:uiPriority w:val="0"/>
    <w:pPr>
      <w:ind w:left="840" w:hanging="420" w:firstLineChars="0"/>
    </w:pPr>
    <w:rPr>
      <w:sz w:val="18"/>
      <w:szCs w:val="18"/>
    </w:rPr>
  </w:style>
  <w:style w:type="paragraph" w:customStyle="1" w:styleId="127">
    <w:name w:val="附录表标号"/>
    <w:basedOn w:val="1"/>
    <w:next w:val="28"/>
    <w:qFormat/>
    <w:uiPriority w:val="0"/>
    <w:pPr>
      <w:spacing w:line="14" w:lineRule="exact"/>
      <w:ind w:left="811" w:hanging="448"/>
      <w:jc w:val="center"/>
      <w:outlineLvl w:val="0"/>
    </w:pPr>
    <w:rPr>
      <w:color w:val="FFFFFF"/>
    </w:rPr>
  </w:style>
  <w:style w:type="paragraph" w:customStyle="1" w:styleId="128">
    <w:name w:val="五级无"/>
    <w:basedOn w:val="80"/>
    <w:qFormat/>
    <w:uiPriority w:val="0"/>
    <w:pPr>
      <w:spacing w:beforeLines="0" w:afterLines="0"/>
    </w:pPr>
    <w:rPr>
      <w:rFonts w:ascii="宋体" w:eastAsia="宋体"/>
    </w:rPr>
  </w:style>
  <w:style w:type="paragraph" w:customStyle="1" w:styleId="129">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30">
    <w:name w:val="附录公式编号制表符"/>
    <w:basedOn w:val="1"/>
    <w:next w:val="28"/>
    <w:qFormat/>
    <w:uiPriority w:val="0"/>
    <w:pPr>
      <w:widowControl/>
      <w:tabs>
        <w:tab w:val="center" w:pos="4201"/>
        <w:tab w:val="right" w:leader="dot" w:pos="9298"/>
      </w:tabs>
      <w:autoSpaceDE w:val="0"/>
      <w:autoSpaceDN w:val="0"/>
    </w:pPr>
    <w:rPr>
      <w:rFonts w:ascii="宋体"/>
      <w:kern w:val="0"/>
      <w:szCs w:val="20"/>
    </w:rPr>
  </w:style>
  <w:style w:type="paragraph" w:customStyle="1" w:styleId="131">
    <w:name w:val="正文公式编号制表符"/>
    <w:basedOn w:val="28"/>
    <w:next w:val="28"/>
    <w:qFormat/>
    <w:uiPriority w:val="0"/>
    <w:pPr>
      <w:ind w:firstLine="0" w:firstLineChars="0"/>
    </w:pPr>
  </w:style>
  <w:style w:type="paragraph" w:customStyle="1" w:styleId="132">
    <w:name w:val="附录五级条标题"/>
    <w:basedOn w:val="66"/>
    <w:next w:val="28"/>
    <w:qFormat/>
    <w:uiPriority w:val="0"/>
    <w:pPr>
      <w:outlineLvl w:val="6"/>
    </w:pPr>
  </w:style>
  <w:style w:type="paragraph" w:customStyle="1" w:styleId="133">
    <w:name w:val="封面一致性程度标识2"/>
    <w:basedOn w:val="113"/>
    <w:qFormat/>
    <w:uiPriority w:val="0"/>
    <w:pPr>
      <w:framePr w:wrap="around" w:y="4469"/>
    </w:pPr>
  </w:style>
  <w:style w:type="paragraph" w:customStyle="1" w:styleId="134">
    <w:name w:val="附录五级无"/>
    <w:basedOn w:val="132"/>
    <w:qFormat/>
    <w:uiPriority w:val="0"/>
    <w:pPr>
      <w:tabs>
        <w:tab w:val="clear" w:pos="360"/>
      </w:tabs>
      <w:spacing w:beforeLines="0" w:afterLines="0"/>
    </w:pPr>
    <w:rPr>
      <w:rFonts w:ascii="宋体" w:eastAsia="宋体"/>
      <w:szCs w:val="21"/>
    </w:rPr>
  </w:style>
  <w:style w:type="paragraph" w:customStyle="1" w:styleId="135">
    <w:name w:val="附录一级条标题"/>
    <w:basedOn w:val="83"/>
    <w:next w:val="28"/>
    <w:qFormat/>
    <w:uiPriority w:val="0"/>
    <w:pPr>
      <w:autoSpaceDN w:val="0"/>
      <w:spacing w:beforeLines="50" w:afterLines="50"/>
      <w:outlineLvl w:val="2"/>
    </w:pPr>
  </w:style>
  <w:style w:type="paragraph" w:customStyle="1" w:styleId="136">
    <w:name w:val="附录一级无"/>
    <w:basedOn w:val="135"/>
    <w:qFormat/>
    <w:uiPriority w:val="0"/>
    <w:pPr>
      <w:tabs>
        <w:tab w:val="clear" w:pos="360"/>
      </w:tabs>
      <w:spacing w:beforeLines="0" w:afterLines="0"/>
    </w:pPr>
    <w:rPr>
      <w:rFonts w:ascii="宋体" w:eastAsia="宋体"/>
      <w:szCs w:val="21"/>
    </w:rPr>
  </w:style>
  <w:style w:type="paragraph" w:customStyle="1" w:styleId="137">
    <w:name w:val="列出段落1"/>
    <w:basedOn w:val="1"/>
    <w:qFormat/>
    <w:uiPriority w:val="34"/>
    <w:pPr>
      <w:ind w:firstLine="420" w:firstLineChars="200"/>
    </w:pPr>
  </w:style>
  <w:style w:type="paragraph" w:customStyle="1" w:styleId="138">
    <w:name w:val="附录字母编号列项（一级）"/>
    <w:qFormat/>
    <w:uiPriority w:val="0"/>
    <w:pPr>
      <w:tabs>
        <w:tab w:val="left" w:pos="839"/>
      </w:tabs>
      <w:ind w:left="839" w:hanging="419"/>
    </w:pPr>
    <w:rPr>
      <w:rFonts w:ascii="宋体" w:hAnsi="Times New Roman" w:eastAsia="宋体" w:cs="Times New Roman"/>
      <w:sz w:val="21"/>
      <w:lang w:val="en-US" w:eastAsia="zh-CN" w:bidi="ar-SA"/>
    </w:rPr>
  </w:style>
  <w:style w:type="paragraph" w:customStyle="1" w:styleId="139">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0">
    <w:name w:val="其他发布部门"/>
    <w:basedOn w:val="121"/>
    <w:qFormat/>
    <w:uiPriority w:val="0"/>
    <w:pPr>
      <w:framePr w:wrap="around" w:y="15310"/>
      <w:spacing w:line="0" w:lineRule="atLeast"/>
    </w:pPr>
    <w:rPr>
      <w:rFonts w:ascii="黑体" w:eastAsia="黑体"/>
      <w:b w:val="0"/>
    </w:rPr>
  </w:style>
  <w:style w:type="paragraph" w:customStyle="1" w:styleId="141">
    <w:name w:val="前言、引言标题"/>
    <w:next w:val="28"/>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42">
    <w:name w:val="四级无"/>
    <w:basedOn w:val="74"/>
    <w:qFormat/>
    <w:uiPriority w:val="0"/>
    <w:pPr>
      <w:spacing w:beforeLines="0" w:afterLines="0"/>
    </w:pPr>
    <w:rPr>
      <w:rFonts w:ascii="宋体" w:eastAsia="宋体"/>
    </w:rPr>
  </w:style>
  <w:style w:type="paragraph" w:customStyle="1" w:styleId="143">
    <w:name w:val="一级无"/>
    <w:basedOn w:val="71"/>
    <w:qFormat/>
    <w:uiPriority w:val="0"/>
    <w:pPr>
      <w:spacing w:beforeLines="0" w:afterLines="0"/>
    </w:pPr>
    <w:rPr>
      <w:rFonts w:ascii="宋体" w:eastAsia="宋体"/>
    </w:rPr>
  </w:style>
  <w:style w:type="paragraph" w:customStyle="1" w:styleId="144">
    <w:name w:val="正文表标题"/>
    <w:next w:val="28"/>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45">
    <w:name w:val="正文图标题"/>
    <w:next w:val="28"/>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46">
    <w:name w:val="终结线"/>
    <w:basedOn w:val="1"/>
    <w:qFormat/>
    <w:uiPriority w:val="0"/>
    <w:pPr>
      <w:framePr w:hSpace="181" w:vSpace="181" w:wrap="around" w:vAnchor="text" w:hAnchor="margin" w:xAlign="center" w:y="285"/>
    </w:pPr>
  </w:style>
  <w:style w:type="paragraph" w:customStyle="1" w:styleId="147">
    <w:name w:val="其他实施日期"/>
    <w:basedOn w:val="124"/>
    <w:qFormat/>
    <w:uiPriority w:val="0"/>
    <w:pPr>
      <w:framePr w:wrap="around"/>
    </w:pPr>
  </w:style>
  <w:style w:type="paragraph" w:customStyle="1" w:styleId="148">
    <w:name w:val="封面标准英文名称2"/>
    <w:basedOn w:val="114"/>
    <w:qFormat/>
    <w:uiPriority w:val="0"/>
    <w:pPr>
      <w:framePr w:wrap="around" w:y="4469"/>
    </w:pPr>
  </w:style>
  <w:style w:type="paragraph" w:customStyle="1" w:styleId="149">
    <w:name w:val="封面标准文稿编辑信息2"/>
    <w:basedOn w:val="125"/>
    <w:qFormat/>
    <w:uiPriority w:val="0"/>
    <w:pPr>
      <w:framePr w:wrap="around" w:y="4469"/>
    </w:pPr>
  </w:style>
  <w:style w:type="character" w:customStyle="1" w:styleId="150">
    <w:name w:val="highlight"/>
    <w:basedOn w:val="40"/>
    <w:qFormat/>
    <w:uiPriority w:val="0"/>
  </w:style>
  <w:style w:type="character" w:customStyle="1" w:styleId="151">
    <w:name w:val="日期 字符"/>
    <w:basedOn w:val="40"/>
    <w:link w:val="19"/>
    <w:qFormat/>
    <w:uiPriority w:val="0"/>
    <w:rPr>
      <w:kern w:val="2"/>
      <w:sz w:val="21"/>
      <w:szCs w:val="24"/>
    </w:rPr>
  </w:style>
  <w:style w:type="character" w:customStyle="1" w:styleId="152">
    <w:name w:val="字母编号列项（一级） Char"/>
    <w:basedOn w:val="40"/>
    <w:link w:val="73"/>
    <w:qFormat/>
    <w:uiPriority w:val="0"/>
    <w:rPr>
      <w:rFonts w:ascii="宋体"/>
      <w:sz w:val="21"/>
    </w:rPr>
  </w:style>
  <w:style w:type="character" w:customStyle="1" w:styleId="153">
    <w:name w:val="一级条标题 Char"/>
    <w:link w:val="71"/>
    <w:qFormat/>
    <w:uiPriority w:val="99"/>
    <w:rPr>
      <w:rFonts w:ascii="黑体" w:eastAsia="黑体"/>
      <w:sz w:val="21"/>
      <w:szCs w:val="21"/>
    </w:rPr>
  </w:style>
  <w:style w:type="character" w:customStyle="1" w:styleId="154">
    <w:name w:val="标题 1 字符"/>
    <w:basedOn w:val="40"/>
    <w:link w:val="2"/>
    <w:qFormat/>
    <w:uiPriority w:val="9"/>
    <w:rPr>
      <w:rFonts w:ascii="宋体" w:hAnsi="宋体"/>
      <w:b/>
      <w:kern w:val="44"/>
      <w:sz w:val="48"/>
      <w:szCs w:val="48"/>
    </w:rPr>
  </w:style>
  <w:style w:type="paragraph" w:customStyle="1" w:styleId="155">
    <w:name w:val="列出段落2"/>
    <w:basedOn w:val="1"/>
    <w:qFormat/>
    <w:uiPriority w:val="34"/>
    <w:pPr>
      <w:ind w:firstLine="420" w:firstLineChars="200"/>
    </w:pPr>
    <w:rPr>
      <w:rFonts w:ascii="Calibri" w:hAnsi="Calibri"/>
      <w:szCs w:val="22"/>
    </w:rPr>
  </w:style>
  <w:style w:type="character" w:customStyle="1" w:styleId="156">
    <w:name w:val="样式1 Char"/>
    <w:basedOn w:val="152"/>
    <w:link w:val="157"/>
    <w:qFormat/>
    <w:uiPriority w:val="0"/>
    <w:rPr>
      <w:rFonts w:ascii="宋体"/>
      <w:sz w:val="21"/>
    </w:rPr>
  </w:style>
  <w:style w:type="paragraph" w:customStyle="1" w:styleId="157">
    <w:name w:val="样式1"/>
    <w:basedOn w:val="73"/>
    <w:link w:val="156"/>
    <w:qFormat/>
    <w:uiPriority w:val="0"/>
    <w:pPr>
      <w:tabs>
        <w:tab w:val="left" w:pos="2520"/>
        <w:tab w:val="left" w:pos="3699"/>
      </w:tabs>
      <w:ind w:left="2749" w:hanging="850"/>
    </w:pPr>
  </w:style>
  <w:style w:type="character" w:customStyle="1" w:styleId="158">
    <w:name w:val="样式2 Char"/>
    <w:basedOn w:val="152"/>
    <w:link w:val="159"/>
    <w:qFormat/>
    <w:uiPriority w:val="0"/>
    <w:rPr>
      <w:rFonts w:ascii="宋体"/>
      <w:sz w:val="21"/>
    </w:rPr>
  </w:style>
  <w:style w:type="paragraph" w:customStyle="1" w:styleId="159">
    <w:name w:val="样式2"/>
    <w:basedOn w:val="73"/>
    <w:link w:val="158"/>
    <w:qFormat/>
    <w:uiPriority w:val="0"/>
    <w:pPr>
      <w:ind w:left="623" w:hanging="425"/>
    </w:pPr>
  </w:style>
  <w:style w:type="paragraph" w:customStyle="1" w:styleId="16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61">
    <w:name w:val="TOC 标题1"/>
    <w:basedOn w:val="2"/>
    <w:next w:val="1"/>
    <w:unhideWhenUsed/>
    <w:qFormat/>
    <w:uiPriority w:val="39"/>
    <w:pPr>
      <w:keepNext/>
      <w:keepLines/>
      <w:widowControl/>
      <w:spacing w:before="240" w:beforeAutospacing="0" w:afterAutospacing="0" w:line="259" w:lineRule="auto"/>
      <w:outlineLvl w:val="9"/>
    </w:pPr>
    <w:rPr>
      <w:rFonts w:hint="default" w:asciiTheme="majorHAnsi" w:hAnsiTheme="majorHAnsi" w:eastAsiaTheme="majorEastAsia" w:cstheme="majorBidi"/>
      <w:b w:val="0"/>
      <w:color w:val="376092" w:themeColor="accent1" w:themeShade="BF"/>
      <w:kern w:val="0"/>
      <w:sz w:val="32"/>
      <w:szCs w:val="32"/>
    </w:rPr>
  </w:style>
  <w:style w:type="character" w:customStyle="1" w:styleId="162">
    <w:name w:val="标题 2 字符"/>
    <w:basedOn w:val="40"/>
    <w:link w:val="3"/>
    <w:semiHidden/>
    <w:qFormat/>
    <w:uiPriority w:val="0"/>
    <w:rPr>
      <w:rFonts w:asciiTheme="majorHAnsi" w:hAnsiTheme="majorHAnsi" w:eastAsiaTheme="majorEastAsia" w:cstheme="majorBidi"/>
      <w:b/>
      <w:bCs/>
      <w:kern w:val="2"/>
      <w:sz w:val="32"/>
      <w:szCs w:val="32"/>
    </w:rPr>
  </w:style>
  <w:style w:type="paragraph" w:customStyle="1" w:styleId="16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kern w:val="0"/>
      <w:sz w:val="18"/>
      <w:szCs w:val="18"/>
    </w:rPr>
  </w:style>
  <w:style w:type="paragraph" w:customStyle="1" w:styleId="165">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66">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18"/>
      <w:szCs w:val="18"/>
    </w:rPr>
  </w:style>
  <w:style w:type="paragraph" w:customStyle="1" w:styleId="16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68">
    <w:name w:val="xl67"/>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cs="宋体"/>
      <w:kern w:val="0"/>
      <w:sz w:val="18"/>
      <w:szCs w:val="18"/>
    </w:rPr>
  </w:style>
  <w:style w:type="paragraph" w:customStyle="1" w:styleId="169">
    <w:name w:val="xl68"/>
    <w:basedOn w:val="1"/>
    <w:qFormat/>
    <w:uiPriority w:val="0"/>
    <w:pPr>
      <w:widowControl/>
      <w:pBdr>
        <w:top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70">
    <w:name w:val="xl69"/>
    <w:basedOn w:val="1"/>
    <w:qFormat/>
    <w:uiPriority w:val="0"/>
    <w:pPr>
      <w:widowControl/>
      <w:pBdr>
        <w:left w:val="single" w:color="auto" w:sz="4" w:space="0"/>
      </w:pBdr>
      <w:spacing w:before="100" w:beforeAutospacing="1" w:after="100" w:afterAutospacing="1"/>
      <w:jc w:val="left"/>
    </w:pPr>
    <w:rPr>
      <w:rFonts w:ascii="宋体" w:hAnsi="宋体" w:cs="宋体"/>
      <w:kern w:val="0"/>
      <w:sz w:val="18"/>
      <w:szCs w:val="18"/>
    </w:rPr>
  </w:style>
  <w:style w:type="paragraph" w:customStyle="1" w:styleId="171">
    <w:name w:val="xl70"/>
    <w:basedOn w:val="1"/>
    <w:qFormat/>
    <w:uiPriority w:val="0"/>
    <w:pPr>
      <w:widowControl/>
      <w:pBdr>
        <w:right w:val="single" w:color="auto" w:sz="4" w:space="0"/>
      </w:pBdr>
      <w:spacing w:before="100" w:beforeAutospacing="1" w:after="100" w:afterAutospacing="1"/>
      <w:jc w:val="left"/>
    </w:pPr>
    <w:rPr>
      <w:rFonts w:ascii="宋体" w:hAnsi="宋体" w:cs="宋体"/>
      <w:kern w:val="0"/>
      <w:sz w:val="18"/>
      <w:szCs w:val="18"/>
    </w:rPr>
  </w:style>
  <w:style w:type="paragraph" w:customStyle="1" w:styleId="172">
    <w:name w:val="xl71"/>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cs="宋体"/>
      <w:kern w:val="0"/>
      <w:sz w:val="18"/>
      <w:szCs w:val="18"/>
    </w:rPr>
  </w:style>
  <w:style w:type="paragraph" w:customStyle="1" w:styleId="173">
    <w:name w:val="xl72"/>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74">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75">
    <w:name w:val="xl74"/>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76">
    <w:name w:val="xl7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77">
    <w:name w:val="xl76"/>
    <w:basedOn w:val="1"/>
    <w:qFormat/>
    <w:uiPriority w:val="0"/>
    <w:pPr>
      <w:widowControl/>
      <w:pBdr>
        <w:left w:val="single" w:color="auto" w:sz="4" w:space="0"/>
      </w:pBdr>
      <w:spacing w:before="100" w:beforeAutospacing="1" w:after="100" w:afterAutospacing="1"/>
      <w:jc w:val="center"/>
    </w:pPr>
    <w:rPr>
      <w:rFonts w:ascii="宋体" w:hAnsi="宋体" w:cs="宋体"/>
      <w:kern w:val="0"/>
      <w:sz w:val="18"/>
      <w:szCs w:val="18"/>
    </w:rPr>
  </w:style>
  <w:style w:type="paragraph" w:customStyle="1" w:styleId="178">
    <w:name w:val="xl77"/>
    <w:basedOn w:val="1"/>
    <w:qFormat/>
    <w:uiPriority w:val="0"/>
    <w:pPr>
      <w:widowControl/>
      <w:pBdr>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79">
    <w:name w:val="xl78"/>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kern w:val="0"/>
      <w:sz w:val="18"/>
      <w:szCs w:val="18"/>
    </w:rPr>
  </w:style>
  <w:style w:type="paragraph" w:customStyle="1" w:styleId="180">
    <w:name w:val="xl79"/>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81">
    <w:name w:val="xl8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82">
    <w:name w:val="xl81"/>
    <w:basedOn w:val="1"/>
    <w:qFormat/>
    <w:uiPriority w:val="0"/>
    <w:pPr>
      <w:widowControl/>
      <w:pBdr>
        <w:top w:val="single" w:color="auto" w:sz="4" w:space="0"/>
        <w:left w:val="single" w:color="auto" w:sz="4" w:space="0"/>
      </w:pBdr>
      <w:spacing w:before="100" w:beforeAutospacing="1" w:after="100" w:afterAutospacing="1"/>
      <w:jc w:val="center"/>
    </w:pPr>
    <w:rPr>
      <w:rFonts w:ascii="黑体" w:hAnsi="黑体" w:eastAsia="黑体" w:cs="宋体"/>
      <w:kern w:val="0"/>
      <w:sz w:val="18"/>
      <w:szCs w:val="18"/>
    </w:rPr>
  </w:style>
  <w:style w:type="paragraph" w:customStyle="1" w:styleId="183">
    <w:name w:val="xl82"/>
    <w:basedOn w:val="1"/>
    <w:qFormat/>
    <w:uiPriority w:val="0"/>
    <w:pPr>
      <w:widowControl/>
      <w:pBdr>
        <w:top w:val="single" w:color="auto" w:sz="4" w:space="0"/>
        <w:right w:val="single" w:color="auto" w:sz="4" w:space="0"/>
      </w:pBdr>
      <w:spacing w:before="100" w:beforeAutospacing="1" w:after="100" w:afterAutospacing="1"/>
      <w:jc w:val="center"/>
    </w:pPr>
    <w:rPr>
      <w:rFonts w:ascii="黑体" w:hAnsi="黑体" w:eastAsia="黑体" w:cs="宋体"/>
      <w:kern w:val="0"/>
      <w:sz w:val="18"/>
      <w:szCs w:val="18"/>
    </w:rPr>
  </w:style>
  <w:style w:type="paragraph" w:styleId="184">
    <w:name w:val="List Paragraph"/>
    <w:basedOn w:val="1"/>
    <w:unhideWhenUsed/>
    <w:qFormat/>
    <w:uiPriority w:val="1"/>
    <w:pPr>
      <w:ind w:firstLine="420" w:firstLineChars="200"/>
    </w:pPr>
  </w:style>
  <w:style w:type="paragraph" w:customStyle="1" w:styleId="185">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86">
    <w:name w:val="font1"/>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87">
    <w:name w:val="font2"/>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88">
    <w:name w:val="font3"/>
    <w:basedOn w:val="1"/>
    <w:qFormat/>
    <w:uiPriority w:val="0"/>
    <w:pPr>
      <w:widowControl/>
      <w:spacing w:before="100" w:beforeAutospacing="1" w:after="100" w:afterAutospacing="1"/>
      <w:jc w:val="left"/>
    </w:pPr>
    <w:rPr>
      <w:rFonts w:ascii="黑体" w:hAnsi="黑体" w:eastAsia="黑体" w:cs="宋体"/>
      <w:color w:val="000000"/>
      <w:kern w:val="0"/>
      <w:sz w:val="18"/>
      <w:szCs w:val="18"/>
    </w:rPr>
  </w:style>
  <w:style w:type="paragraph" w:customStyle="1" w:styleId="189">
    <w:name w:val="et2"/>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90">
    <w:name w:val="et3"/>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黑体" w:hAnsi="黑体" w:eastAsia="黑体" w:cs="宋体"/>
      <w:kern w:val="0"/>
      <w:sz w:val="18"/>
      <w:szCs w:val="18"/>
    </w:rPr>
  </w:style>
  <w:style w:type="paragraph" w:customStyle="1" w:styleId="191">
    <w:name w:val="et4"/>
    <w:basedOn w:val="1"/>
    <w:qFormat/>
    <w:uiPriority w:val="0"/>
    <w:pPr>
      <w:widowControl/>
      <w:pBdr>
        <w:top w:val="single" w:color="000000" w:sz="4" w:space="0"/>
        <w:left w:val="single" w:color="000000" w:sz="4" w:space="0"/>
      </w:pBdr>
      <w:spacing w:before="100" w:beforeAutospacing="1" w:after="100" w:afterAutospacing="1"/>
      <w:jc w:val="center"/>
    </w:pPr>
    <w:rPr>
      <w:rFonts w:ascii="黑体" w:hAnsi="黑体" w:eastAsia="黑体" w:cs="宋体"/>
      <w:kern w:val="0"/>
      <w:sz w:val="18"/>
      <w:szCs w:val="18"/>
    </w:rPr>
  </w:style>
  <w:style w:type="paragraph" w:customStyle="1" w:styleId="192">
    <w:name w:val="et5"/>
    <w:basedOn w:val="1"/>
    <w:qFormat/>
    <w:uiPriority w:val="0"/>
    <w:pPr>
      <w:widowControl/>
      <w:pBdr>
        <w:top w:val="single" w:color="000000" w:sz="4" w:space="0"/>
        <w:right w:val="single" w:color="000000" w:sz="4" w:space="0"/>
      </w:pBdr>
      <w:spacing w:before="100" w:beforeAutospacing="1" w:after="100" w:afterAutospacing="1"/>
      <w:jc w:val="center"/>
    </w:pPr>
    <w:rPr>
      <w:rFonts w:ascii="黑体" w:hAnsi="黑体" w:eastAsia="黑体" w:cs="宋体"/>
      <w:kern w:val="0"/>
      <w:sz w:val="18"/>
      <w:szCs w:val="18"/>
    </w:rPr>
  </w:style>
  <w:style w:type="paragraph" w:customStyle="1" w:styleId="193">
    <w:name w:val="et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s="宋体"/>
      <w:kern w:val="0"/>
      <w:sz w:val="18"/>
      <w:szCs w:val="18"/>
    </w:rPr>
  </w:style>
  <w:style w:type="paragraph" w:customStyle="1" w:styleId="194">
    <w:name w:val="et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195">
    <w:name w:val="et8"/>
    <w:basedOn w:val="1"/>
    <w:qFormat/>
    <w:uiPriority w:val="0"/>
    <w:pPr>
      <w:widowControl/>
      <w:pBdr>
        <w:top w:val="single" w:color="000000" w:sz="4" w:space="0"/>
        <w:left w:val="single" w:color="000000" w:sz="4" w:space="0"/>
        <w:right w:val="single" w:color="000000" w:sz="4" w:space="0"/>
      </w:pBdr>
      <w:spacing w:before="100" w:beforeAutospacing="1" w:after="100" w:afterAutospacing="1"/>
    </w:pPr>
    <w:rPr>
      <w:rFonts w:ascii="宋体" w:hAnsi="宋体" w:cs="宋体"/>
      <w:kern w:val="0"/>
      <w:sz w:val="18"/>
      <w:szCs w:val="18"/>
    </w:rPr>
  </w:style>
  <w:style w:type="paragraph" w:customStyle="1" w:styleId="196">
    <w:name w:val="et9"/>
    <w:basedOn w:val="1"/>
    <w:qFormat/>
    <w:uiPriority w:val="0"/>
    <w:pPr>
      <w:widowControl/>
      <w:pBdr>
        <w:top w:val="single" w:color="000000" w:sz="4" w:space="0"/>
        <w:left w:val="single" w:color="000000" w:sz="4" w:space="0"/>
      </w:pBdr>
      <w:spacing w:before="100" w:beforeAutospacing="1" w:after="100" w:afterAutospacing="1"/>
      <w:jc w:val="center"/>
    </w:pPr>
    <w:rPr>
      <w:rFonts w:ascii="宋体" w:hAnsi="宋体" w:cs="宋体"/>
      <w:kern w:val="0"/>
      <w:sz w:val="18"/>
      <w:szCs w:val="18"/>
    </w:rPr>
  </w:style>
  <w:style w:type="paragraph" w:customStyle="1" w:styleId="197">
    <w:name w:val="et10"/>
    <w:basedOn w:val="1"/>
    <w:qFormat/>
    <w:uiPriority w:val="0"/>
    <w:pPr>
      <w:widowControl/>
      <w:pBdr>
        <w:top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198">
    <w:name w:val="et1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hAnsi="宋体" w:cs="宋体"/>
      <w:kern w:val="0"/>
      <w:sz w:val="18"/>
      <w:szCs w:val="18"/>
    </w:rPr>
  </w:style>
  <w:style w:type="paragraph" w:customStyle="1" w:styleId="199">
    <w:name w:val="et12"/>
    <w:basedOn w:val="1"/>
    <w:qFormat/>
    <w:uiPriority w:val="0"/>
    <w:pPr>
      <w:widowControl/>
      <w:pBdr>
        <w:left w:val="single" w:color="000000" w:sz="4" w:space="0"/>
        <w:right w:val="single" w:color="000000" w:sz="4" w:space="0"/>
      </w:pBdr>
      <w:spacing w:before="100" w:beforeAutospacing="1" w:after="100" w:afterAutospacing="1"/>
    </w:pPr>
    <w:rPr>
      <w:rFonts w:ascii="宋体" w:hAnsi="宋体" w:cs="宋体"/>
      <w:kern w:val="0"/>
      <w:sz w:val="18"/>
      <w:szCs w:val="18"/>
    </w:rPr>
  </w:style>
  <w:style w:type="paragraph" w:customStyle="1" w:styleId="200">
    <w:name w:val="et13"/>
    <w:basedOn w:val="1"/>
    <w:qFormat/>
    <w:uiPriority w:val="0"/>
    <w:pPr>
      <w:widowControl/>
      <w:pBdr>
        <w:left w:val="single" w:color="000000" w:sz="4" w:space="0"/>
      </w:pBdr>
      <w:spacing w:before="100" w:beforeAutospacing="1" w:after="100" w:afterAutospacing="1"/>
      <w:jc w:val="center"/>
    </w:pPr>
    <w:rPr>
      <w:rFonts w:ascii="宋体" w:hAnsi="宋体" w:cs="宋体"/>
      <w:kern w:val="0"/>
      <w:sz w:val="18"/>
      <w:szCs w:val="18"/>
    </w:rPr>
  </w:style>
  <w:style w:type="paragraph" w:customStyle="1" w:styleId="201">
    <w:name w:val="et14"/>
    <w:basedOn w:val="1"/>
    <w:qFormat/>
    <w:uiPriority w:val="0"/>
    <w:pPr>
      <w:widowControl/>
      <w:pBdr>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02">
    <w:name w:val="et15"/>
    <w:basedOn w:val="1"/>
    <w:qFormat/>
    <w:uiPriority w:val="0"/>
    <w:pPr>
      <w:widowControl/>
      <w:pBdr>
        <w:left w:val="single" w:color="000000" w:sz="4" w:space="0"/>
        <w:bottom w:val="single" w:color="000000" w:sz="4" w:space="0"/>
      </w:pBdr>
      <w:spacing w:before="100" w:beforeAutospacing="1" w:after="100" w:afterAutospacing="1"/>
      <w:jc w:val="center"/>
    </w:pPr>
    <w:rPr>
      <w:rFonts w:ascii="宋体" w:hAnsi="宋体" w:cs="宋体"/>
      <w:kern w:val="0"/>
      <w:sz w:val="18"/>
      <w:szCs w:val="18"/>
    </w:rPr>
  </w:style>
  <w:style w:type="paragraph" w:customStyle="1" w:styleId="203">
    <w:name w:val="et16"/>
    <w:basedOn w:val="1"/>
    <w:qFormat/>
    <w:uiPriority w:val="0"/>
    <w:pPr>
      <w:widowControl/>
      <w:pBdr>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04">
    <w:name w:val="et17"/>
    <w:basedOn w:val="1"/>
    <w:qFormat/>
    <w:uiPriority w:val="0"/>
    <w:pPr>
      <w:widowControl/>
      <w:pBdr>
        <w:left w:val="single" w:color="000000" w:sz="4" w:space="0"/>
        <w:bottom w:val="single" w:color="000000" w:sz="4" w:space="0"/>
        <w:right w:val="single" w:color="000000" w:sz="4" w:space="0"/>
      </w:pBdr>
      <w:spacing w:before="100" w:beforeAutospacing="1" w:after="100" w:afterAutospacing="1"/>
    </w:pPr>
    <w:rPr>
      <w:rFonts w:ascii="宋体" w:hAnsi="宋体" w:cs="宋体"/>
      <w:kern w:val="0"/>
      <w:sz w:val="18"/>
      <w:szCs w:val="18"/>
    </w:rPr>
  </w:style>
  <w:style w:type="paragraph" w:customStyle="1" w:styleId="205">
    <w:name w:val="et1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06">
    <w:name w:val="et19"/>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07">
    <w:name w:val="et2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08">
    <w:name w:val="et21"/>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09">
    <w:name w:val="et22"/>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0">
    <w:name w:val="et23"/>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pPr>
    <w:rPr>
      <w:rFonts w:ascii="宋体" w:hAnsi="宋体" w:cs="宋体"/>
      <w:kern w:val="0"/>
      <w:sz w:val="18"/>
      <w:szCs w:val="18"/>
    </w:rPr>
  </w:style>
  <w:style w:type="paragraph" w:customStyle="1" w:styleId="211">
    <w:name w:val="et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212">
    <w:name w:val="et28"/>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3">
    <w:name w:val="et30"/>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pPr>
    <w:rPr>
      <w:rFonts w:ascii="宋体" w:hAnsi="宋体" w:cs="宋体"/>
      <w:kern w:val="0"/>
      <w:sz w:val="18"/>
      <w:szCs w:val="18"/>
    </w:rPr>
  </w:style>
  <w:style w:type="paragraph" w:customStyle="1" w:styleId="214">
    <w:name w:val="et3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215">
    <w:name w:val="et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216">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17">
    <w:name w:val="WPSOffice手动目录 1"/>
    <w:qFormat/>
    <w:uiPriority w:val="0"/>
    <w:rPr>
      <w:rFonts w:asciiTheme="minorHAnsi" w:hAnsiTheme="minorHAnsi" w:eastAsiaTheme="minorEastAsia" w:cstheme="minorBidi"/>
      <w:lang w:val="en-US" w:eastAsia="zh-CN" w:bidi="ar-SA"/>
    </w:rPr>
  </w:style>
  <w:style w:type="paragraph" w:customStyle="1" w:styleId="218">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219">
    <w:name w:val="WPSOffice手动目录 3"/>
    <w:qFormat/>
    <w:uiPriority w:val="0"/>
    <w:pPr>
      <w:ind w:left="400" w:leftChars="400"/>
    </w:pPr>
    <w:rPr>
      <w:rFonts w:asciiTheme="minorHAnsi" w:hAnsiTheme="minorHAnsi" w:eastAsiaTheme="minorEastAsia" w:cstheme="minorBidi"/>
      <w:lang w:val="en-US" w:eastAsia="zh-CN" w:bidi="ar-SA"/>
    </w:rPr>
  </w:style>
  <w:style w:type="table" w:customStyle="1" w:styleId="220">
    <w:name w:val="Table Normal"/>
    <w:semiHidden/>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character" w:customStyle="1" w:styleId="221">
    <w:name w:val="正文文本 字符"/>
    <w:basedOn w:val="40"/>
    <w:link w:val="13"/>
    <w:qFormat/>
    <w:uiPriority w:val="1"/>
    <w:rPr>
      <w:rFonts w:ascii="Arial" w:hAnsi="Arial" w:eastAsia="Arial" w:cs="Arial"/>
      <w:kern w:val="2"/>
      <w:sz w:val="21"/>
      <w:szCs w:val="21"/>
      <w:lang w:eastAsia="en-US"/>
    </w:rPr>
  </w:style>
  <w:style w:type="paragraph" w:customStyle="1" w:styleId="222">
    <w:name w:val="Table Paragraph"/>
    <w:basedOn w:val="1"/>
    <w:qFormat/>
    <w:uiPriority w:val="1"/>
    <w:pPr>
      <w:jc w:val="left"/>
    </w:pPr>
    <w:rPr>
      <w:rFonts w:asciiTheme="minorHAnsi" w:hAnsiTheme="minorHAnsi" w:eastAsiaTheme="minorEastAsia" w:cstheme="minorBidi"/>
      <w:kern w:val="0"/>
      <w:sz w:val="22"/>
      <w:szCs w:val="22"/>
      <w:lang w:eastAsia="en-US"/>
    </w:rPr>
  </w:style>
  <w:style w:type="character" w:customStyle="1" w:styleId="223">
    <w:name w:val="页眉 字符"/>
    <w:basedOn w:val="40"/>
    <w:link w:val="23"/>
    <w:qFormat/>
    <w:uiPriority w:val="99"/>
    <w:rPr>
      <w:kern w:val="2"/>
      <w:sz w:val="18"/>
      <w:szCs w:val="18"/>
    </w:rPr>
  </w:style>
  <w:style w:type="character" w:customStyle="1" w:styleId="224">
    <w:name w:val="页脚 字符"/>
    <w:basedOn w:val="40"/>
    <w:link w:val="22"/>
    <w:qFormat/>
    <w:uiPriority w:val="99"/>
    <w:rPr>
      <w:kern w:val="2"/>
      <w:sz w:val="18"/>
      <w:szCs w:val="18"/>
    </w:rPr>
  </w:style>
  <w:style w:type="paragraph" w:customStyle="1" w:styleId="225">
    <w:name w:val="标准文件_三级无标题"/>
    <w:basedOn w:val="226"/>
    <w:qFormat/>
    <w:uiPriority w:val="0"/>
    <w:pPr>
      <w:spacing w:before="0" w:beforeLines="0" w:after="0" w:afterLines="0"/>
      <w:outlineLvl w:val="9"/>
    </w:pPr>
    <w:rPr>
      <w:rFonts w:ascii="宋体" w:eastAsia="宋体"/>
    </w:rPr>
  </w:style>
  <w:style w:type="paragraph" w:customStyle="1" w:styleId="226">
    <w:name w:val="标准文件_三级条标题"/>
    <w:basedOn w:val="227"/>
    <w:next w:val="228"/>
    <w:qFormat/>
    <w:uiPriority w:val="0"/>
    <w:pPr>
      <w:widowControl/>
      <w:numPr>
        <w:ilvl w:val="4"/>
      </w:numPr>
      <w:outlineLvl w:val="3"/>
    </w:pPr>
  </w:style>
  <w:style w:type="paragraph" w:customStyle="1" w:styleId="227">
    <w:name w:val="标准文件_二级条标题"/>
    <w:next w:val="228"/>
    <w:qFormat/>
    <w:uiPriority w:val="0"/>
    <w:pPr>
      <w:widowControl w:val="0"/>
      <w:numPr>
        <w:ilvl w:val="3"/>
        <w:numId w:val="2"/>
      </w:numPr>
      <w:spacing w:before="50" w:beforeLines="50" w:after="50" w:afterLines="50"/>
      <w:ind w:left="0"/>
      <w:jc w:val="both"/>
      <w:outlineLvl w:val="2"/>
    </w:pPr>
    <w:rPr>
      <w:rFonts w:ascii="黑体" w:hAnsi="Times New Roman" w:eastAsia="黑体" w:cs="Times New Roman"/>
      <w:sz w:val="21"/>
      <w:lang w:val="en-US" w:eastAsia="zh-CN" w:bidi="ar-SA"/>
    </w:rPr>
  </w:style>
  <w:style w:type="paragraph" w:customStyle="1" w:styleId="228">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9">
    <w:name w:val="标准文件_一级项"/>
    <w:qFormat/>
    <w:uiPriority w:val="0"/>
    <w:pPr>
      <w:numPr>
        <w:ilvl w:val="0"/>
        <w:numId w:val="3"/>
      </w:numPr>
      <w:tabs>
        <w:tab w:val="left" w:pos="851"/>
        <w:tab w:val="left" w:pos="2553"/>
        <w:tab w:val="clear" w:pos="1986"/>
      </w:tabs>
      <w:ind w:left="851"/>
    </w:pPr>
    <w:rPr>
      <w:rFonts w:ascii="宋体" w:hAnsi="Times New Roman" w:eastAsia="宋体" w:cs="Times New Roman"/>
      <w:sz w:val="21"/>
      <w:lang w:val="en-US" w:eastAsia="zh-CN" w:bidi="ar-SA"/>
    </w:rPr>
  </w:style>
  <w:style w:type="paragraph" w:customStyle="1" w:styleId="230">
    <w:name w:val="标准文件_二级无标题"/>
    <w:basedOn w:val="227"/>
    <w:qFormat/>
    <w:uiPriority w:val="0"/>
    <w:pPr>
      <w:spacing w:before="0" w:beforeLines="0" w:after="0" w:afterLines="0"/>
      <w:outlineLvl w:val="9"/>
    </w:pPr>
    <w:rPr>
      <w:rFonts w:ascii="宋体" w:eastAsia="宋体"/>
    </w:rPr>
  </w:style>
  <w:style w:type="paragraph" w:customStyle="1" w:styleId="231">
    <w:name w:val="标准文件_正文公式"/>
    <w:basedOn w:val="1"/>
    <w:next w:val="232"/>
    <w:qFormat/>
    <w:uiPriority w:val="0"/>
    <w:pPr>
      <w:tabs>
        <w:tab w:val="center" w:pos="4678"/>
        <w:tab w:val="right" w:leader="middleDot" w:pos="9356"/>
      </w:tabs>
    </w:pPr>
    <w:rPr>
      <w:rFonts w:ascii="宋体" w:hAnsi="宋体"/>
    </w:rPr>
  </w:style>
  <w:style w:type="paragraph" w:customStyle="1" w:styleId="232">
    <w:name w:val="标准文件_标准正文"/>
    <w:basedOn w:val="1"/>
    <w:next w:val="228"/>
    <w:qFormat/>
    <w:uiPriority w:val="0"/>
    <w:pPr>
      <w:snapToGrid w:val="0"/>
      <w:ind w:firstLine="200" w:firstLineChars="200"/>
    </w:pPr>
    <w:rPr>
      <w:kern w:val="0"/>
    </w:rPr>
  </w:style>
  <w:style w:type="character" w:customStyle="1" w:styleId="233">
    <w:name w:val="font41"/>
    <w:basedOn w:val="40"/>
    <w:qFormat/>
    <w:uiPriority w:val="0"/>
    <w:rPr>
      <w:rFonts w:hint="eastAsia" w:ascii="宋体" w:hAnsi="宋体" w:eastAsia="宋体" w:cs="宋体"/>
      <w:color w:val="0000FF"/>
      <w:sz w:val="18"/>
      <w:szCs w:val="18"/>
      <w:u w:val="none"/>
    </w:rPr>
  </w:style>
  <w:style w:type="character" w:customStyle="1" w:styleId="234">
    <w:name w:val="font31"/>
    <w:basedOn w:val="40"/>
    <w:qFormat/>
    <w:uiPriority w:val="0"/>
    <w:rPr>
      <w:rFonts w:hint="eastAsia" w:ascii="宋体" w:hAnsi="宋体" w:eastAsia="宋体" w:cs="宋体"/>
      <w:color w:val="000000"/>
      <w:sz w:val="18"/>
      <w:szCs w:val="18"/>
      <w:u w:val="none"/>
    </w:rPr>
  </w:style>
  <w:style w:type="character" w:customStyle="1" w:styleId="235">
    <w:name w:val="font51"/>
    <w:basedOn w:val="40"/>
    <w:qFormat/>
    <w:uiPriority w:val="0"/>
    <w:rPr>
      <w:rFonts w:hint="eastAsia" w:ascii="宋体" w:hAnsi="宋体" w:eastAsia="宋体" w:cs="宋体"/>
      <w:color w:val="000000"/>
      <w:sz w:val="18"/>
      <w:szCs w:val="18"/>
      <w:u w:val="none"/>
    </w:rPr>
  </w:style>
  <w:style w:type="character" w:customStyle="1" w:styleId="236">
    <w:name w:val="font91"/>
    <w:basedOn w:val="40"/>
    <w:qFormat/>
    <w:uiPriority w:val="0"/>
    <w:rPr>
      <w:rFonts w:ascii="微软雅黑" w:hAnsi="微软雅黑" w:eastAsia="微软雅黑" w:cs="微软雅黑"/>
      <w:color w:val="000000"/>
      <w:sz w:val="18"/>
      <w:szCs w:val="18"/>
      <w:u w:val="none"/>
    </w:rPr>
  </w:style>
  <w:style w:type="character" w:customStyle="1" w:styleId="237">
    <w:name w:val="font71"/>
    <w:basedOn w:val="40"/>
    <w:qFormat/>
    <w:uiPriority w:val="0"/>
    <w:rPr>
      <w:rFonts w:hint="eastAsia" w:ascii="微软雅黑" w:hAnsi="微软雅黑" w:eastAsia="微软雅黑" w:cs="微软雅黑"/>
      <w:color w:val="000000"/>
      <w:sz w:val="18"/>
      <w:szCs w:val="18"/>
      <w:u w:val="none"/>
    </w:rPr>
  </w:style>
  <w:style w:type="character" w:customStyle="1" w:styleId="238">
    <w:name w:val="font112"/>
    <w:basedOn w:val="40"/>
    <w:qFormat/>
    <w:uiPriority w:val="0"/>
    <w:rPr>
      <w:rFonts w:hint="default" w:ascii="Times New Roman" w:hAnsi="Times New Roman" w:cs="Times New Roman"/>
      <w:color w:val="000000"/>
      <w:sz w:val="18"/>
      <w:szCs w:val="18"/>
      <w:u w:val="none"/>
    </w:rPr>
  </w:style>
  <w:style w:type="character" w:customStyle="1" w:styleId="239">
    <w:name w:val="font101"/>
    <w:basedOn w:val="40"/>
    <w:qFormat/>
    <w:uiPriority w:val="0"/>
    <w:rPr>
      <w:rFonts w:hint="default" w:ascii="Calibri" w:hAnsi="Calibri" w:cs="Calibri"/>
      <w:color w:val="000000"/>
      <w:sz w:val="18"/>
      <w:szCs w:val="18"/>
      <w:u w:val="none"/>
    </w:rPr>
  </w:style>
  <w:style w:type="paragraph" w:customStyle="1" w:styleId="240">
    <w:name w:val="标准文件_附录表标题"/>
    <w:next w:val="228"/>
    <w:qFormat/>
    <w:uiPriority w:val="0"/>
    <w:pPr>
      <w:numPr>
        <w:ilvl w:val="1"/>
        <w:numId w:val="4"/>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glossaryDocument" Target="glossary/document.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5712ab5-033d-4501-8e2e-cc1e45f0b0d9}"/>
        <w:style w:val=""/>
        <w:category>
          <w:name w:val="常规"/>
          <w:gallery w:val="placeholder"/>
        </w:category>
        <w:types>
          <w:type w:val="bbPlcHdr"/>
        </w:types>
        <w:behaviors>
          <w:behavior w:val="content"/>
        </w:behaviors>
        <w:description w:val=""/>
        <w:guid w:val="{D5712AB5-033D-4501-8E2E-CC1E45F0B0D9}"/>
      </w:docPartPr>
      <w:docPartBody>
        <w:p w14:paraId="00BD9AA8">
          <w:pPr>
            <w:pStyle w:val="4"/>
            <w:rPr>
              <w:rFonts w:hint="eastAsia"/>
            </w:rPr>
          </w:pPr>
          <w:r>
            <w:rPr>
              <w:rStyle w:val="5"/>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BF8"/>
    <w:rsid w:val="006F36B7"/>
    <w:rsid w:val="00831997"/>
    <w:rsid w:val="008833D8"/>
    <w:rsid w:val="00BE4298"/>
    <w:rsid w:val="00E47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683A59A317554ACB982E87CE4A69D4A9"/>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styleId="5">
    <w:name w:val="Placeholder Text"/>
    <w:basedOn w:val="2"/>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A10276-7766-43AA-9EE2-8481B0BEE751}">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27</Pages>
  <Words>3831</Words>
  <Characters>4280</Characters>
  <Lines>1173</Lines>
  <Paragraphs>852</Paragraphs>
  <TotalTime>1</TotalTime>
  <ScaleCrop>false</ScaleCrop>
  <LinksUpToDate>false</LinksUpToDate>
  <CharactersWithSpaces>4510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2025-05-09T16:11:00Z</dcterms:created>
  <dc:creator>CNIS</dc:creator>
  <cp:lastModifiedBy>jia ♚</cp:lastModifiedBy>
  <cp:lastPrinted>2024-11-14T16:42:00Z</cp:lastPrinted>
  <dcterms:modified xsi:type="dcterms:W3CDTF">2025-09-08T01:20:11Z</dcterms:modified>
  <dc:title>标准名称</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91274E793638474D9D532171493C373E_13</vt:lpwstr>
  </property>
  <property fmtid="{D5CDD505-2E9C-101B-9397-08002B2CF9AE}" pid="4" name="KSOTemplateDocerSaveRecord">
    <vt:lpwstr>eyJoZGlkIjoiYjMxODc1YTNkODc2NWE1ZjRjNmE2OTM4ZmM0MjFjZTUiLCJ1c2VySWQiOiI2MjU1ODcxMDAifQ==</vt:lpwstr>
  </property>
</Properties>
</file>