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097B">
      <w:pPr>
        <w:pStyle w:val="29"/>
        <w:framePr w:wrap="around"/>
        <w:tabs>
          <w:tab w:val="left" w:pos="8014"/>
        </w:tabs>
        <w:rPr>
          <w:rFonts w:hint="eastAsia" w:hAnsi="黑体" w:eastAsia="黑体" w:cs="黑体"/>
          <w:lang w:eastAsia="zh-CN"/>
        </w:rPr>
      </w:pPr>
      <w:r>
        <w:rPr>
          <w:rFonts w:hint="eastAsia" w:hAnsi="黑体" w:cs="黑体"/>
        </w:rPr>
        <w:t>ICS </w:t>
      </w:r>
      <w:r>
        <w:rPr>
          <w:rFonts w:hint="eastAsia" w:hAnsi="黑体" w:cs="黑体"/>
          <w:lang w:val="en-US" w:eastAsia="zh-CN"/>
        </w:rPr>
        <w:t>03.080.30</w:t>
      </w:r>
      <w:r>
        <w:rPr>
          <w:rFonts w:hint="eastAsia" w:hAnsi="黑体" w:cs="黑体"/>
          <w:lang w:eastAsia="zh-CN"/>
        </w:rPr>
        <w:tab/>
      </w:r>
    </w:p>
    <w:p w14:paraId="0501FDEB">
      <w:pPr>
        <w:pStyle w:val="29"/>
        <w:framePr w:wrap="around"/>
        <w:rPr>
          <w:rFonts w:hint="default" w:hAnsi="黑体" w:eastAsia="黑体" w:cs="黑体"/>
          <w:lang w:val="en-US" w:eastAsia="zh-CN"/>
        </w:rPr>
      </w:pPr>
      <w:r>
        <w:rPr>
          <w:rFonts w:hint="eastAsia" w:hAnsi="黑体" w:cs="黑体"/>
          <w:lang w:val="en-US" w:eastAsia="zh-CN"/>
        </w:rPr>
        <w:t>CCS A16</w:t>
      </w:r>
    </w:p>
    <w:tbl>
      <w:tblPr>
        <w:tblStyle w:val="11"/>
        <w:tblW w:w="95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321F0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AD46B">
            <w:pPr>
              <w:pStyle w:val="29"/>
              <w:framePr w:wrap="around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22225" b="5080"/>
                      <wp:wrapNone/>
                      <wp:docPr id="7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C8C4F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5.6pt;width:68.25pt;z-index:-251657216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K4v7NUAAAAHAQAADwAAAAAA&#10;AAABACAAAAAiAAAAZHJzL2Rvd25yZXYueG1sUEsBAhQAFAAAAAgAh07iQK+sNNYWAgAAOQQAAA4A&#10;AAAAAAAAAQAgAAAAJAEAAGRycy9lMm9Eb2MueG1sUEsFBgAAAAAGAAYAWQEAAKw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C8C4F43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743DF59">
      <w:pPr>
        <w:pStyle w:val="30"/>
        <w:framePr w:w="9232" w:h="1145" w:hRule="exact" w:wrap="around" w:x="1502" w:y="2153"/>
        <w:ind w:left="240" w:leftChars="100"/>
        <w:rPr>
          <w:rFonts w:ascii="Times New Roman" w:hAnsi="Times New Roman"/>
          <w:sz w:val="52"/>
        </w:rPr>
      </w:pPr>
      <w:r>
        <w:rPr>
          <w:rFonts w:hint="eastAsia" w:ascii="Times New Roman" w:hAnsi="Times New Roman"/>
          <w:sz w:val="52"/>
        </w:rPr>
        <w:t>团体标准</w:t>
      </w:r>
    </w:p>
    <w:p w14:paraId="11FF6D99">
      <w:pPr>
        <w:pStyle w:val="33"/>
        <w:framePr w:w="2465" w:wrap="around" w:x="8146" w:y="2698"/>
        <w:rPr>
          <w:rFonts w:hAnsi="黑体"/>
        </w:rPr>
      </w:pPr>
    </w:p>
    <w:p w14:paraId="46053564">
      <w:pPr>
        <w:pStyle w:val="33"/>
        <w:framePr w:w="2465" w:wrap="around" w:x="8146" w:y="2698"/>
        <w:rPr>
          <w:rFonts w:hint="eastAsia" w:hAnsi="黑体" w:eastAsia="黑体"/>
          <w:lang w:eastAsia="zh-CN"/>
        </w:rPr>
      </w:pPr>
      <w:r>
        <w:rPr>
          <w:rFonts w:hint="eastAsia" w:hAnsi="黑体"/>
        </w:rPr>
        <w:t>T/</w:t>
      </w:r>
      <w:r>
        <w:rPr>
          <w:rFonts w:hAnsi="黑体"/>
        </w:rPr>
        <w:t>C</w:t>
      </w:r>
      <w:r>
        <w:rPr>
          <w:rFonts w:hint="eastAsia" w:hAnsi="黑体"/>
        </w:rPr>
        <w:t>PMI</w:t>
      </w:r>
      <w:r>
        <w:rPr>
          <w:rFonts w:hAnsi="黑体"/>
        </w:rPr>
        <w:t xml:space="preserve"> 0</w:t>
      </w:r>
      <w:r>
        <w:rPr>
          <w:rFonts w:hint="eastAsia" w:hAnsi="黑体"/>
          <w:lang w:val="en-US" w:eastAsia="zh-CN"/>
        </w:rPr>
        <w:t>XX</w:t>
      </w:r>
      <w:r>
        <w:rPr>
          <w:rFonts w:hAnsi="黑体"/>
        </w:rPr>
        <w:t>—202</w:t>
      </w:r>
      <w:r>
        <w:rPr>
          <w:rFonts w:hint="eastAsia" w:hAnsi="黑体"/>
          <w:lang w:val="en-US" w:eastAsia="zh-CN"/>
        </w:rPr>
        <w:t>X</w:t>
      </w:r>
    </w:p>
    <w:p w14:paraId="0F01FC88">
      <w:pPr>
        <w:pStyle w:val="33"/>
        <w:framePr w:w="2465" w:wrap="around" w:x="8146" w:y="2698"/>
        <w:rPr>
          <w:rFonts w:hAnsi="黑体"/>
          <w:sz w:val="21"/>
          <w:szCs w:val="21"/>
        </w:rPr>
      </w:pPr>
    </w:p>
    <w:p w14:paraId="737F7F80">
      <w:pPr>
        <w:pStyle w:val="33"/>
        <w:framePr w:w="2465" w:wrap="around" w:x="8146" w:y="2698"/>
        <w:rPr>
          <w:rFonts w:hAnsi="黑体"/>
          <w:sz w:val="21"/>
          <w:szCs w:val="21"/>
        </w:rPr>
      </w:pPr>
    </w:p>
    <w:p w14:paraId="765F7CC9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A19F429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62230</wp:posOffset>
                </wp:positionV>
                <wp:extent cx="6551930" cy="5715"/>
                <wp:effectExtent l="0" t="4445" r="1270" b="8890"/>
                <wp:wrapNone/>
                <wp:docPr id="10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-28.4pt;margin-top:4.9pt;height:0.45pt;width:515.9pt;z-index:251662336;mso-width-relative:page;mso-height-relative:page;" filled="f" stroked="t" coordsize="21600,21600" o:gfxdata="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IyUqz1wAAAAgBAAAP&#10;AAAAAAAAAAEAIAAAACIAAABkcnMvZG93bnJldi54bWxQSwECFAAUAAAACACHTuJA5+EgxeABAAC0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3A11771">
      <w:pPr>
        <w:autoSpaceDE w:val="0"/>
        <w:autoSpaceDN w:val="0"/>
        <w:adjustRightInd w:val="0"/>
        <w:ind w:left="0" w:leftChars="0" w:firstLine="0" w:firstLineChars="0"/>
        <w:jc w:val="both"/>
        <w:rPr>
          <w:rFonts w:hint="eastAsia" w:eastAsia="黑体" w:cs="Times New Roman"/>
          <w:color w:val="000000"/>
          <w:sz w:val="52"/>
          <w:szCs w:val="52"/>
          <w:lang w:val="en-US" w:eastAsia="zh-CN"/>
        </w:rPr>
      </w:pPr>
    </w:p>
    <w:p w14:paraId="5E6B1885">
      <w:pPr>
        <w:autoSpaceDE w:val="0"/>
        <w:autoSpaceDN w:val="0"/>
        <w:adjustRightInd w:val="0"/>
        <w:jc w:val="center"/>
        <w:rPr>
          <w:rFonts w:hint="eastAsia" w:eastAsia="黑体" w:cs="Times New Roman"/>
          <w:color w:val="000000"/>
          <w:sz w:val="52"/>
          <w:szCs w:val="52"/>
          <w:lang w:val="en-US" w:eastAsia="zh-CN"/>
        </w:rPr>
      </w:pPr>
    </w:p>
    <w:p w14:paraId="22CC1DEB">
      <w:pPr>
        <w:pStyle w:val="34"/>
        <w:framePr w:wrap="around" w:x="1149"/>
        <w:rPr>
          <w:rFonts w:hint="eastAsia"/>
          <w:lang w:val="en-US" w:eastAsia="zh-CN"/>
        </w:rPr>
      </w:pPr>
      <w:bookmarkStart w:id="0" w:name="FY"/>
      <w:r>
        <w:rPr>
          <w:rFonts w:hint="eastAsia"/>
          <w:lang w:val="en-US" w:eastAsia="zh-CN"/>
        </w:rPr>
        <w:t>物业服务企业</w:t>
      </w:r>
    </w:p>
    <w:p w14:paraId="1317380B">
      <w:pPr>
        <w:pStyle w:val="34"/>
        <w:framePr w:wrap="around" w:x="1149"/>
        <w:rPr>
          <w:rFonts w:hint="default"/>
          <w:lang w:val="en-US"/>
        </w:rPr>
      </w:pPr>
      <w:r>
        <w:rPr>
          <w:rFonts w:hint="eastAsia"/>
          <w:lang w:val="en-US" w:eastAsia="zh-CN"/>
        </w:rPr>
        <w:t>环境、社会和治理（ESG）评价规范</w:t>
      </w:r>
    </w:p>
    <w:p w14:paraId="315706C1">
      <w:pPr>
        <w:pStyle w:val="35"/>
        <w:framePr w:wrap="around" w:x="1149"/>
        <w:rPr>
          <w:rFonts w:hint="default" w:eastAsia="宋体"/>
          <w:lang w:val="en-US" w:eastAsia="zh-CN"/>
        </w:rPr>
      </w:pPr>
      <w:r>
        <w:rPr>
          <w:rFonts w:hint="eastAsia" w:ascii="Times New Roman" w:cs="Times New Roman"/>
          <w:lang w:val="en-US" w:eastAsia="zh-CN"/>
        </w:rPr>
        <w:t>ESG evaluation specifications for property service enterprises</w:t>
      </w:r>
    </w:p>
    <w:tbl>
      <w:tblPr>
        <w:tblStyle w:val="11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36901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CCF3C">
            <w:pPr>
              <w:pStyle w:val="37"/>
              <w:framePr w:wrap="around" w:x="1149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0"/>
                      <wp:wrapNone/>
                      <wp:docPr id="6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AF9A0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45.15pt;height:20pt;width:150pt;z-index:-251655168;mso-width-relative:page;mso-height-relative:page;" fillcolor="#FFFFFF" filled="t" stroked="f" coordsize="21600,21600" o:gfxdata="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WJrpLVAAAACgEAAA8AAAAAAAAAAQAg&#10;AAAAIgAAAGRycy9kb3ducmV2LnhtbFBLAQIUABQAAAAIAIdO4kBxDxSNEQIAADkEAAAOAAAAAAAA&#10;AAEAIAAAACQBAABkcnMvZTJvRG9jLnhtbFBLBQYAAAAABgAGAFkBAACn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AF9A0E4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0" b="0"/>
                      <wp:wrapNone/>
                      <wp:docPr id="9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A87A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93.3pt;margin-top:20.15pt;height:24pt;width:100pt;z-index:-251656192;mso-width-relative:page;mso-height-relative:page;" fillcolor="#FFFFFF" filled="t" stroked="f" coordsize="21600,21600" o:gfxdata="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4Yvl1gAAAAkBAAAPAAAAAAAAAAEA&#10;IAAAACIAAABkcnMvZG93bnJldi54bWxQSwECFAAUAAAACACHTuJA2MOMJhECAAA5BAAADgAAAAAA&#10;AAABACAAAAAlAQAAZHJzL2Uyb0RvYy54bWxQSwUGAAAAAAYABgBZAQAAq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AA87A0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征求意见稿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965B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5291F">
            <w:pPr>
              <w:pStyle w:val="38"/>
              <w:framePr w:wrap="around" w:x="1149"/>
            </w:pPr>
          </w:p>
        </w:tc>
      </w:tr>
      <w:bookmarkEnd w:id="0"/>
    </w:tbl>
    <w:p w14:paraId="011EE874">
      <w:pPr>
        <w:pStyle w:val="39"/>
        <w:framePr w:w="2450" w:wrap="around" w:vAnchor="page" w:hAnchor="page" w:x="1380" w:y="14145"/>
      </w:pPr>
      <w:r>
        <w:rPr>
          <w:rFonts w:hint="eastAsia" w:ascii="黑体"/>
        </w:rPr>
        <w:t>20</w:t>
      </w:r>
      <w:r>
        <w:rPr>
          <w:rFonts w:ascii="黑体"/>
          <w:szCs w:val="22"/>
        </w:rPr>
        <w:t>2</w:t>
      </w:r>
      <w:r>
        <w:rPr>
          <w:rFonts w:hint="eastAsia" w:ascii="黑体"/>
          <w:szCs w:val="22"/>
        </w:rPr>
        <w:t>X-</w:t>
      </w:r>
      <w:r>
        <w:rPr>
          <w:rFonts w:hint="eastAsia" w:ascii="黑体"/>
          <w:szCs w:val="22"/>
          <w:lang w:val="en-US" w:eastAsia="zh-CN"/>
        </w:rPr>
        <w:t>X</w:t>
      </w:r>
      <w:r>
        <w:rPr>
          <w:rFonts w:hint="eastAsia" w:ascii="黑体"/>
          <w:szCs w:val="22"/>
        </w:rPr>
        <w:t>X-</w:t>
      </w:r>
      <w:r>
        <w:rPr>
          <w:rFonts w:hint="eastAsia" w:ascii="黑体"/>
          <w:szCs w:val="22"/>
          <w:lang w:val="en-US" w:eastAsia="zh-CN"/>
        </w:rPr>
        <w:t>X</w:t>
      </w:r>
      <w:r>
        <w:rPr>
          <w:rFonts w:hint="eastAsia" w:ascii="黑体"/>
          <w:szCs w:val="22"/>
        </w:rPr>
        <w:t>X</w:t>
      </w:r>
      <w:r>
        <w:rPr>
          <w:rFonts w:hint="eastAsia"/>
        </w:rPr>
        <w:t>发布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1560"/>
      </w:tblGrid>
      <w:tr w14:paraId="2938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vAlign w:val="center"/>
          </w:tcPr>
          <w:p w14:paraId="3493E725">
            <w:pPr>
              <w:pStyle w:val="43"/>
              <w:framePr w:wrap="around" w:x="2138" w:y="15104"/>
              <w:spacing w:before="156" w:after="156"/>
              <w:jc w:val="right"/>
              <w:rPr>
                <w:rFonts w:hAnsi="黑体" w:cs="黑体"/>
                <w:szCs w:val="18"/>
              </w:rPr>
            </w:pPr>
            <w:r>
              <w:rPr>
                <w:rFonts w:hint="eastAsia" w:hAnsi="黑体" w:cs="黑体"/>
                <w:szCs w:val="18"/>
              </w:rPr>
              <w:t>中国物业管理协会</w:t>
            </w:r>
          </w:p>
        </w:tc>
        <w:tc>
          <w:tcPr>
            <w:tcW w:w="1560" w:type="dxa"/>
            <w:vAlign w:val="center"/>
          </w:tcPr>
          <w:p w14:paraId="766FF2A2">
            <w:pPr>
              <w:pStyle w:val="43"/>
              <w:framePr w:wrap="around" w:x="2138" w:y="15104"/>
              <w:spacing w:before="156" w:after="156"/>
              <w:rPr>
                <w:rFonts w:hAnsi="黑体" w:cs="黑体"/>
                <w:szCs w:val="18"/>
              </w:rPr>
            </w:pPr>
            <w:r>
              <w:rPr>
                <w:rFonts w:hint="eastAsia" w:hAnsi="黑体" w:cs="黑体"/>
                <w:szCs w:val="18"/>
              </w:rPr>
              <w:t>发布</w:t>
            </w:r>
          </w:p>
        </w:tc>
      </w:tr>
      <w:tr w14:paraId="50CB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vAlign w:val="center"/>
          </w:tcPr>
          <w:p w14:paraId="75505AD4">
            <w:pPr>
              <w:pStyle w:val="43"/>
              <w:framePr w:wrap="around" w:x="2138" w:y="15104"/>
              <w:spacing w:before="156" w:after="156"/>
              <w:jc w:val="both"/>
              <w:rPr>
                <w:rFonts w:hint="eastAsia" w:hAnsi="黑体" w:cs="黑体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B7106FF">
            <w:pPr>
              <w:pStyle w:val="43"/>
              <w:framePr w:wrap="around" w:x="2138" w:y="15104"/>
              <w:spacing w:before="156" w:after="156"/>
              <w:rPr>
                <w:rFonts w:hint="eastAsia" w:hAnsi="黑体" w:cs="黑体"/>
                <w:szCs w:val="18"/>
              </w:rPr>
            </w:pPr>
          </w:p>
        </w:tc>
      </w:tr>
    </w:tbl>
    <w:p w14:paraId="6026F85A">
      <w:pPr>
        <w:pStyle w:val="43"/>
        <w:framePr w:wrap="around" w:x="2138" w:y="15104"/>
        <w:spacing w:before="156" w:after="156"/>
        <w:jc w:val="both"/>
      </w:pPr>
      <w:r>
        <w:rPr>
          <w:rFonts w:hint="eastAsia" w:hAnsi="黑体" w:cs="黑体"/>
        </w:rPr>
        <w:t xml:space="preserve">  </w:t>
      </w:r>
    </w:p>
    <w:p w14:paraId="63E6B60D">
      <w:pPr>
        <w:autoSpaceDE w:val="0"/>
        <w:autoSpaceDN w:val="0"/>
        <w:adjustRightInd w:val="0"/>
        <w:ind w:left="0" w:leftChars="0" w:firstLine="0" w:firstLineChars="0"/>
        <w:jc w:val="both"/>
        <w:rPr>
          <w:rFonts w:hint="eastAsia" w:eastAsia="黑体" w:cs="Times New Roman"/>
          <w:color w:val="000000"/>
          <w:sz w:val="52"/>
          <w:szCs w:val="52"/>
          <w:lang w:val="en-US" w:eastAsia="zh-CN"/>
        </w:rPr>
      </w:pPr>
    </w:p>
    <w:p w14:paraId="0EEFD690">
      <w:pPr>
        <w:pStyle w:val="41"/>
        <w:framePr w:w="2450" w:wrap="around" w:vAnchor="page" w:hAnchor="page" w:x="8549" w:y="14174"/>
      </w:pPr>
      <w:bookmarkStart w:id="1" w:name="SY"/>
      <w:r>
        <w:rPr>
          <w:rFonts w:hint="eastAsia" w:ascii="黑体"/>
        </w:rPr>
        <w:t>20</w:t>
      </w:r>
      <w:r>
        <w:rPr>
          <w:rFonts w:ascii="黑体"/>
        </w:rPr>
        <w:t>2</w:t>
      </w:r>
      <w:r>
        <w:rPr>
          <w:rFonts w:hint="eastAsia" w:ascii="黑体"/>
        </w:rPr>
        <w:t>X</w:t>
      </w:r>
      <w:r>
        <w:rPr>
          <w:rFonts w:ascii="黑体"/>
        </w:rPr>
        <w:t>-</w:t>
      </w:r>
      <w:r>
        <w:rPr>
          <w:rFonts w:hint="eastAsia" w:ascii="黑体"/>
          <w:lang w:val="en-US" w:eastAsia="zh-CN"/>
        </w:rPr>
        <w:t>X</w:t>
      </w:r>
      <w:r>
        <w:rPr>
          <w:rFonts w:hint="eastAsia" w:ascii="黑体"/>
        </w:rPr>
        <w:t>X</w:t>
      </w:r>
      <w:r>
        <w:rPr>
          <w:rFonts w:ascii="黑体"/>
        </w:rPr>
        <w:t>-</w:t>
      </w:r>
      <w:r>
        <w:rPr>
          <w:rFonts w:hint="eastAsia" w:ascii="黑体"/>
          <w:lang w:val="en-US" w:eastAsia="zh-CN"/>
        </w:rPr>
        <w:t>X</w:t>
      </w:r>
      <w:r>
        <w:rPr>
          <w:rFonts w:hint="eastAsia" w:ascii="黑体"/>
        </w:rPr>
        <w:t>X</w:t>
      </w:r>
      <w:r>
        <w:rPr>
          <w:rFonts w:hint="eastAsia"/>
        </w:rPr>
        <w:t>实施</w:t>
      </w:r>
    </w:p>
    <w:bookmarkEnd w:id="1"/>
    <w:p w14:paraId="54E9CBE2">
      <w:pPr>
        <w:autoSpaceDE w:val="0"/>
        <w:autoSpaceDN w:val="0"/>
        <w:adjustRightInd w:val="0"/>
        <w:ind w:left="0" w:leftChars="0" w:firstLine="0" w:firstLineChars="0"/>
        <w:jc w:val="both"/>
        <w:rPr>
          <w:rFonts w:hint="eastAsia" w:eastAsia="黑体" w:cs="Times New Roman"/>
          <w:color w:val="000000"/>
          <w:sz w:val="52"/>
          <w:szCs w:val="52"/>
          <w:highlight w:val="none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5408295</wp:posOffset>
                </wp:positionV>
                <wp:extent cx="6551930" cy="5715"/>
                <wp:effectExtent l="0" t="0" r="0" b="0"/>
                <wp:wrapNone/>
                <wp:docPr id="5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-17.3pt;margin-top:425.85pt;height:0.45pt;width:515.9pt;z-index:251666432;mso-width-relative:page;mso-height-relative:page;" filled="f" stroked="t" coordsize="21600,21600" o:gfxdata="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DFVXF2gAAAAsB&#10;AAAPAAAAAAAAAAEAIAAAACIAAABkcnMvZG93bnJldi54bWxQSwECFAAUAAAACACHTuJAKc1xOeAB&#10;AACzAwAADgAAAAAAAAABACAAAAAp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C03704A">
      <w:pPr>
        <w:autoSpaceDE w:val="0"/>
        <w:autoSpaceDN w:val="0"/>
        <w:adjustRightInd w:val="0"/>
        <w:ind w:left="0" w:leftChars="0" w:firstLine="0" w:firstLineChars="0"/>
        <w:jc w:val="center"/>
        <w:rPr>
          <w:rFonts w:hint="eastAsia" w:eastAsia="黑体" w:cs="Times New Roman"/>
          <w:color w:val="000000"/>
          <w:sz w:val="52"/>
          <w:szCs w:val="52"/>
          <w:highlight w:val="none"/>
          <w:lang w:val="en-US" w:eastAsia="zh-CN"/>
        </w:rPr>
      </w:pPr>
    </w:p>
    <w:p w14:paraId="7D7286D3">
      <w:pPr>
        <w:autoSpaceDE w:val="0"/>
        <w:autoSpaceDN w:val="0"/>
        <w:adjustRightInd w:val="0"/>
        <w:ind w:left="0" w:leftChars="0" w:firstLine="0" w:firstLineChars="0"/>
        <w:jc w:val="center"/>
        <w:rPr>
          <w:rFonts w:hint="eastAsia" w:eastAsia="黑体" w:cs="Times New Roman"/>
          <w:color w:val="000000"/>
          <w:sz w:val="52"/>
          <w:szCs w:val="52"/>
          <w:highlight w:val="none"/>
          <w:lang w:val="en-US" w:eastAsia="zh-CN"/>
        </w:rPr>
        <w:sectPr>
          <w:headerReference r:id="rId6" w:type="first"/>
          <w:headerReference r:id="rId5" w:type="default"/>
          <w:pgSz w:w="11906" w:h="16838"/>
          <w:pgMar w:top="567" w:right="850" w:bottom="1134" w:left="141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sdt>
      <w:sdtPr>
        <w:rPr>
          <w:rFonts w:ascii="宋体" w:hAnsi="宋体" w:eastAsia="宋体" w:cs="Times New Roman"/>
          <w:bCs/>
          <w:color w:val="000000"/>
          <w:kern w:val="0"/>
          <w:sz w:val="21"/>
          <w:szCs w:val="28"/>
          <w:highlight w:val="none"/>
          <w:lang w:val="en-US" w:eastAsia="zh-CN" w:bidi="ar-SA"/>
        </w:rPr>
        <w:id w:val="735827609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-SA"/>
        </w:rPr>
      </w:sdtEndPr>
      <w:sdtContent>
        <w:p w14:paraId="3F464188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313" w:beforeLines="100" w:after="469" w:afterLines="150" w:line="240" w:lineRule="auto"/>
            <w:ind w:left="0" w:leftChars="0" w:right="0" w:rightChars="0" w:firstLine="0" w:firstLineChars="0"/>
            <w:jc w:val="center"/>
            <w:textAlignment w:val="auto"/>
            <w:rPr>
              <w:rFonts w:ascii="宋体" w:hAnsi="宋体" w:eastAsia="宋体" w:cs="Times New Roman"/>
              <w:bCs/>
              <w:color w:val="000000"/>
              <w:kern w:val="0"/>
              <w:sz w:val="21"/>
              <w:szCs w:val="28"/>
              <w:highlight w:val="none"/>
              <w:lang w:val="en-US" w:eastAsia="zh-CN" w:bidi="ar-SA"/>
            </w:rPr>
          </w:pPr>
          <w:bookmarkStart w:id="2" w:name="_Toc32058"/>
          <w:bookmarkStart w:id="3" w:name="_Toc28886"/>
        </w:p>
        <w:p w14:paraId="25A51D5B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313" w:beforeLines="100" w:after="469" w:afterLines="150" w:line="240" w:lineRule="auto"/>
            <w:ind w:left="0" w:leftChars="0" w:right="0" w:rightChars="0" w:firstLine="0" w:firstLineChars="0"/>
            <w:jc w:val="center"/>
            <w:textAlignment w:val="auto"/>
            <w:rPr>
              <w:rFonts w:hint="eastAsia" w:ascii="黑体" w:hAnsi="黑体" w:eastAsia="黑体" w:cs="黑体"/>
              <w:b/>
              <w:bCs w:val="0"/>
              <w:color w:val="000000"/>
              <w:kern w:val="0"/>
              <w:sz w:val="32"/>
              <w:szCs w:val="44"/>
              <w:highlight w:val="none"/>
              <w:lang w:val="en-US" w:eastAsia="zh-CN" w:bidi="ar-SA"/>
            </w:rPr>
          </w:pPr>
          <w:r>
            <w:rPr>
              <w:rFonts w:hint="eastAsia" w:ascii="黑体" w:hAnsi="黑体" w:eastAsia="黑体" w:cs="黑体"/>
              <w:b/>
              <w:bCs w:val="0"/>
              <w:color w:val="000000"/>
              <w:kern w:val="0"/>
              <w:sz w:val="32"/>
              <w:szCs w:val="44"/>
              <w:highlight w:val="none"/>
              <w:lang w:val="en-US" w:eastAsia="zh-CN" w:bidi="ar-SA"/>
            </w:rPr>
            <w:t>目    次</w:t>
          </w:r>
        </w:p>
        <w:p w14:paraId="7261CAEF">
          <w:pPr>
            <w:pStyle w:val="9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TOC \o "1-2" \h \u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_Toc10621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kern w:val="0"/>
              <w:sz w:val="21"/>
              <w:szCs w:val="21"/>
              <w:highlight w:val="none"/>
              <w:lang w:val="en-US" w:eastAsia="zh-CN" w:bidi="ar-SA"/>
            </w:rPr>
            <w:t>前</w:t>
          </w:r>
          <w:r>
            <w:rPr>
              <w:rFonts w:hint="eastAsia" w:ascii="宋体" w:hAnsi="宋体" w:eastAsia="宋体" w:cs="宋体"/>
              <w:sz w:val="21"/>
              <w:szCs w:val="21"/>
            </w:rPr>
            <w:t>  </w:t>
          </w:r>
          <w:r>
            <w:rPr>
              <w:rFonts w:hint="eastAsia" w:ascii="宋体" w:hAnsi="宋体" w:eastAsia="宋体" w:cs="宋体"/>
              <w:bCs/>
              <w:kern w:val="0"/>
              <w:sz w:val="21"/>
              <w:szCs w:val="21"/>
              <w:highlight w:val="none"/>
              <w:lang w:val="en-US" w:eastAsia="zh-CN" w:bidi="ar-SA"/>
            </w:rPr>
            <w:t>言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_Toc10621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III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53138D64">
          <w:pPr>
            <w:pStyle w:val="9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_Toc25204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kern w:val="0"/>
              <w:sz w:val="21"/>
              <w:szCs w:val="21"/>
              <w:highlight w:val="none"/>
              <w:lang w:val="en-US" w:eastAsia="zh-CN" w:bidi="ar-SA"/>
            </w:rPr>
            <w:t>引  言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_Toc25204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IV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783710F2">
          <w:pPr>
            <w:pStyle w:val="9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_Toc1366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</w:rPr>
            <w:t>1 范围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_Toc1366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00C78BE7">
          <w:pPr>
            <w:pStyle w:val="9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_Toc13265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2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</w:rPr>
            <w:t xml:space="preserve"> 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eastAsia="zh-CN"/>
            </w:rPr>
            <w:t>规范性引用文件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_Toc13265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48A8399B">
          <w:pPr>
            <w:pStyle w:val="9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_Toc8623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 xml:space="preserve">3 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</w:rPr>
            <w:t>术语和定义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_Toc8623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00F821AE">
          <w:pPr>
            <w:pStyle w:val="9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_Toc28691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</w:rPr>
            <w:t xml:space="preserve"> 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评价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</w:rPr>
            <w:t>原则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_Toc28691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3C4D6B1D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_Toc28954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4.1 科学性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_Toc28954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7EF5AB05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_Toc19679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4.2 适用性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_Toc19679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38E1DBE1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_Toc29362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4.3 公正性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_Toc29362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2B91C0E2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_Toc5314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4.4 平衡性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_Toc5314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5142533A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_Toc30508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4.5 可比性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_Toc30508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345B6B03">
          <w:pPr>
            <w:pStyle w:val="9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_Toc11406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5 评价内容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_Toc11406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13F0622F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_Toc4922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5.1 评价指标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_Toc4922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4F5312A5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_Toc13487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5.2 否决项指标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_Toc13487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3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20C1C770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_Toc21008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5.3 加分项指标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_Toc21008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3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6E9FD934">
          <w:pPr>
            <w:pStyle w:val="9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_Toc11806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6 评价组织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_Toc11806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4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48DF01DB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_Toc4369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6.1 评价组织要求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_Toc4369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4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3BA2BC7F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_Toc2002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6.2 评价人员的专业和素质要求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_Toc2002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4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43532FE6">
          <w:pPr>
            <w:pStyle w:val="9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_Toc30192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7 评价流程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_Toc30192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4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19C6D7E6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_Toc24807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7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</w:rPr>
            <w:t>.1 信息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来源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_Toc24807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4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610972DD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_Toc15045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7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</w:rPr>
            <w:t>.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2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</w:rPr>
            <w:t xml:space="preserve"> 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评价步骤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_Toc15045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4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0209C49B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_Toc27856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7.3 评价方法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_Toc27856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5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312B4187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_Toc10219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7.4 评价结果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_Toc10219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5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73EEB58D">
          <w:pPr>
            <w:pStyle w:val="10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_Toc4692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7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</w:rPr>
            <w:t>.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</w:rPr>
            <w:t xml:space="preserve"> </w:t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结果应用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_Toc4692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5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1ACDA7CB">
          <w:pPr>
            <w:pStyle w:val="9"/>
            <w:tabs>
              <w:tab w:val="right" w:leader="dot" w:pos="9360"/>
            </w:tabs>
            <w:spacing w:line="240" w:lineRule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_Toc4510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附录A（规范性）物业服务企业环境、社会和治理（ESG）评价指标体系及说明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_Toc4510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6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75CA6C76">
          <w:pPr>
            <w:pStyle w:val="9"/>
            <w:tabs>
              <w:tab w:val="right" w:leader="dot" w:pos="9360"/>
            </w:tabs>
            <w:spacing w:line="240" w:lineRule="auto"/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_Toc8111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1"/>
              <w:szCs w:val="21"/>
              <w:lang w:val="en-US" w:eastAsia="zh-CN"/>
            </w:rPr>
            <w:t>参 考 文 献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_Toc8111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3BC88BA4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bidi w:val="0"/>
            <w:adjustRightInd w:val="0"/>
            <w:spacing w:line="240" w:lineRule="auto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Cs w:val="21"/>
            </w:rPr>
            <w:fldChar w:fldCharType="end"/>
          </w:r>
        </w:p>
      </w:sdtContent>
    </w:sdt>
    <w:p w14:paraId="2DDFB20F">
      <w:pPr>
        <w:ind w:left="0" w:leftChars="0" w:firstLine="0" w:firstLineChars="0"/>
        <w:jc w:val="both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br w:type="page"/>
      </w:r>
    </w:p>
    <w:p w14:paraId="5B8BB6D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560" w:afterLines="0" w:line="460" w:lineRule="exact"/>
        <w:jc w:val="left"/>
        <w:textAlignment w:val="auto"/>
        <w:rPr>
          <w:rFonts w:hint="eastAsia"/>
          <w:sz w:val="32"/>
          <w:szCs w:val="32"/>
        </w:rPr>
      </w:pPr>
    </w:p>
    <w:p w14:paraId="0421865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469" w:afterLines="150" w:line="240" w:lineRule="auto"/>
        <w:ind w:left="0" w:leftChars="0" w:firstLine="0" w:firstLineChars="0"/>
        <w:jc w:val="center"/>
        <w:textAlignment w:val="auto"/>
      </w:pPr>
      <w:bookmarkStart w:id="4" w:name="_Toc20317"/>
      <w:bookmarkStart w:id="5" w:name="_Toc10621"/>
      <w:bookmarkStart w:id="6" w:name="_Toc26864"/>
      <w:bookmarkStart w:id="7" w:name="_Toc1338175959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前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  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言</w:t>
      </w:r>
      <w:bookmarkEnd w:id="2"/>
      <w:bookmarkEnd w:id="3"/>
      <w:bookmarkEnd w:id="4"/>
      <w:bookmarkEnd w:id="5"/>
      <w:bookmarkEnd w:id="6"/>
      <w:bookmarkEnd w:id="7"/>
    </w:p>
    <w:p w14:paraId="2A1C5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0"/>
        </w:rPr>
        <w:t>本文件按照GB/T 1.1-2020《标准化工作导则 第1部分：标准化文件的结构和起草规则》的规定起草。</w:t>
      </w:r>
    </w:p>
    <w:p w14:paraId="573B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0"/>
        </w:rPr>
        <w:t>请注意本文件的某些内容可能涉及专利。本文件的发布机构不承担识别专利的责任。</w:t>
      </w:r>
    </w:p>
    <w:p w14:paraId="67B67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0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0"/>
        </w:rPr>
        <w:t>本文件由</w:t>
      </w:r>
      <w:r>
        <w:rPr>
          <w:rFonts w:hint="eastAsia" w:ascii="宋体" w:hAnsi="宋体" w:eastAsia="宋体" w:cs="宋体"/>
          <w:color w:val="000000"/>
          <w:kern w:val="0"/>
          <w:sz w:val="21"/>
          <w:szCs w:val="20"/>
          <w:highlight w:val="none"/>
          <w:lang w:val="en-US" w:eastAsia="zh-CN"/>
        </w:rPr>
        <w:t>中国物业管理协会标准化建设专业委员会</w:t>
      </w:r>
      <w:r>
        <w:rPr>
          <w:rFonts w:hint="eastAsia" w:ascii="宋体" w:hAnsi="宋体" w:eastAsia="宋体" w:cs="宋体"/>
          <w:color w:val="000000"/>
          <w:kern w:val="0"/>
          <w:sz w:val="21"/>
          <w:szCs w:val="20"/>
          <w:highlight w:val="none"/>
        </w:rPr>
        <w:t>提出并归口。</w:t>
      </w:r>
    </w:p>
    <w:p w14:paraId="3AC10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0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0"/>
          <w:highlight w:val="none"/>
        </w:rPr>
        <w:t>本文件起草单位：</w:t>
      </w:r>
    </w:p>
    <w:p w14:paraId="3F7B7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0"/>
        </w:rPr>
        <w:t>本文件主要起草人：</w:t>
      </w:r>
    </w:p>
    <w:p w14:paraId="51984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0"/>
        </w:rPr>
      </w:pPr>
      <w:bookmarkStart w:id="189" w:name="_GoBack"/>
      <w:bookmarkEnd w:id="189"/>
      <w:r>
        <w:rPr>
          <w:rFonts w:hint="eastAsia" w:ascii="宋体" w:hAnsi="宋体" w:eastAsia="宋体" w:cs="宋体"/>
          <w:color w:val="000000"/>
          <w:kern w:val="0"/>
          <w:sz w:val="21"/>
          <w:szCs w:val="20"/>
        </w:rPr>
        <w:t>本文件主要审查人：</w:t>
      </w:r>
    </w:p>
    <w:p w14:paraId="16E7C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0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0"/>
          <w:lang w:eastAsia="zh-CN"/>
        </w:rPr>
        <w:t>本文件为首次发布。</w:t>
      </w:r>
    </w:p>
    <w:p w14:paraId="327D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page"/>
      </w:r>
    </w:p>
    <w:p w14:paraId="7B95F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560" w:line="460" w:lineRule="exact"/>
        <w:jc w:val="both"/>
        <w:textAlignment w:val="auto"/>
        <w:outlineLvl w:val="0"/>
        <w:rPr>
          <w:rFonts w:hint="eastAsia" w:ascii="黑体" w:hAnsi="黑体" w:eastAsia="黑体" w:cs="Times New Roman"/>
          <w:b/>
          <w:bCs/>
          <w:kern w:val="44"/>
          <w:sz w:val="32"/>
          <w:szCs w:val="24"/>
        </w:rPr>
      </w:pPr>
    </w:p>
    <w:p w14:paraId="2251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469" w:afterLines="150" w:line="240" w:lineRule="auto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8" w:name="_Toc22173"/>
      <w:bookmarkStart w:id="9" w:name="_Toc25204"/>
      <w:bookmarkStart w:id="10" w:name="_Toc127107882"/>
      <w:bookmarkStart w:id="11" w:name="_Toc1765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引  言</w:t>
      </w:r>
      <w:bookmarkEnd w:id="8"/>
      <w:bookmarkEnd w:id="9"/>
      <w:bookmarkEnd w:id="10"/>
      <w:bookmarkEnd w:id="11"/>
    </w:p>
    <w:p w14:paraId="6EE10FB7">
      <w:pPr>
        <w:bidi w:val="0"/>
        <w:spacing w:line="240" w:lineRule="auto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ESG是Environmental（环境）、Social（社会）和Governance（治理）的缩写，</w:t>
      </w:r>
      <w:r>
        <w:rPr>
          <w:rFonts w:hint="eastAsia" w:ascii="Times New Roman" w:hAnsi="Times New Roman" w:cs="Times New Roman"/>
          <w:sz w:val="21"/>
          <w:szCs w:val="22"/>
        </w:rPr>
        <w:t>是一种关注企业环境、社会、治理绩效而非财务绩效的投资理念和企业评价标准。近年来，E</w:t>
      </w:r>
      <w:r>
        <w:rPr>
          <w:rFonts w:hint="default" w:ascii="Times New Roman" w:hAnsi="Times New Roman" w:cs="Times New Roman"/>
          <w:sz w:val="21"/>
          <w:szCs w:val="22"/>
        </w:rPr>
        <w:t>SG</w:t>
      </w:r>
      <w:r>
        <w:rPr>
          <w:rFonts w:hint="eastAsia" w:ascii="Times New Roman" w:hAnsi="Times New Roman" w:cs="Times New Roman"/>
          <w:sz w:val="21"/>
          <w:szCs w:val="22"/>
        </w:rPr>
        <w:t>已逐渐成为全球公认的衡量企业可持续发展能力的重要工具。作为链接资本市场与企业价值之间的桥梁，ESG</w:t>
      </w:r>
      <w:r>
        <w:rPr>
          <w:rFonts w:hint="default" w:ascii="Times New Roman" w:hAnsi="Times New Roman" w:cs="Times New Roman"/>
          <w:sz w:val="21"/>
          <w:szCs w:val="22"/>
        </w:rPr>
        <w:t>是构建企业与社会和谐关系的基本理念</w:t>
      </w:r>
      <w:r>
        <w:rPr>
          <w:rFonts w:hint="eastAsia" w:cs="Times New Roman"/>
          <w:sz w:val="21"/>
          <w:szCs w:val="22"/>
          <w:lang w:eastAsia="zh-CN"/>
        </w:rPr>
        <w:t>。</w:t>
      </w:r>
      <w:r>
        <w:rPr>
          <w:rFonts w:hint="eastAsia" w:ascii="Times New Roman" w:hAnsi="Times New Roman" w:cs="Times New Roman"/>
          <w:sz w:val="21"/>
          <w:szCs w:val="22"/>
        </w:rPr>
        <w:t>深度践行</w:t>
      </w:r>
      <w:r>
        <w:rPr>
          <w:rFonts w:hint="default" w:ascii="Times New Roman" w:hAnsi="Times New Roman" w:cs="Times New Roman"/>
          <w:sz w:val="21"/>
          <w:szCs w:val="22"/>
        </w:rPr>
        <w:t>ESG</w:t>
      </w:r>
      <w:r>
        <w:rPr>
          <w:rFonts w:hint="eastAsia" w:ascii="Times New Roman" w:hAnsi="Times New Roman" w:cs="Times New Roman"/>
          <w:sz w:val="21"/>
          <w:szCs w:val="22"/>
        </w:rPr>
        <w:t>管理与实践</w:t>
      </w:r>
      <w:r>
        <w:rPr>
          <w:rFonts w:hint="default" w:ascii="Times New Roman" w:hAnsi="Times New Roman" w:cs="Times New Roman"/>
          <w:sz w:val="21"/>
          <w:szCs w:val="22"/>
        </w:rPr>
        <w:t>是企业发展和社会发展的</w:t>
      </w:r>
      <w:r>
        <w:rPr>
          <w:rFonts w:hint="eastAsia" w:ascii="Times New Roman" w:hAnsi="Times New Roman" w:cs="Times New Roman"/>
          <w:sz w:val="21"/>
          <w:szCs w:val="22"/>
        </w:rPr>
        <w:t>根本</w:t>
      </w:r>
      <w:r>
        <w:rPr>
          <w:rFonts w:hint="default" w:ascii="Times New Roman" w:hAnsi="Times New Roman" w:cs="Times New Roman"/>
          <w:sz w:val="21"/>
          <w:szCs w:val="22"/>
        </w:rPr>
        <w:t>需要</w:t>
      </w:r>
      <w:r>
        <w:rPr>
          <w:rFonts w:hint="eastAsia" w:ascii="Times New Roman" w:hAnsi="Times New Roman" w:cs="Times New Roman"/>
          <w:sz w:val="21"/>
          <w:szCs w:val="22"/>
        </w:rPr>
        <w:t>，更是企业实现可持续发展的重要途径。</w:t>
      </w:r>
    </w:p>
    <w:p w14:paraId="2E958EF7">
      <w:pPr>
        <w:bidi w:val="0"/>
        <w:spacing w:line="240" w:lineRule="auto"/>
        <w:rPr>
          <w:rFonts w:hint="eastAsia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《</w:t>
      </w:r>
      <w:r>
        <w:rPr>
          <w:rFonts w:hint="eastAsia" w:cs="Times New Roman"/>
          <w:sz w:val="21"/>
          <w:szCs w:val="22"/>
          <w:lang w:val="en-US" w:eastAsia="zh-CN"/>
        </w:rPr>
        <w:t>物业服务企业环境、社会和治理（ESG）评价规范</w:t>
      </w:r>
      <w:r>
        <w:rPr>
          <w:rFonts w:hint="default" w:ascii="Times New Roman" w:hAnsi="Times New Roman" w:cs="Times New Roman"/>
          <w:sz w:val="21"/>
          <w:szCs w:val="22"/>
        </w:rPr>
        <w:t>》是依托相关法律法规与政策文件，结合中国特色</w:t>
      </w:r>
      <w:r>
        <w:rPr>
          <w:rFonts w:hint="eastAsia" w:cs="Times New Roman"/>
          <w:sz w:val="21"/>
          <w:szCs w:val="22"/>
          <w:lang w:val="en-US" w:eastAsia="zh-CN"/>
        </w:rPr>
        <w:t>物业管理</w:t>
      </w:r>
      <w:r>
        <w:rPr>
          <w:rFonts w:hint="default" w:ascii="Times New Roman" w:hAnsi="Times New Roman" w:cs="Times New Roman"/>
          <w:sz w:val="21"/>
          <w:szCs w:val="22"/>
        </w:rPr>
        <w:t>行业现状</w:t>
      </w: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>实际</w:t>
      </w:r>
      <w:r>
        <w:rPr>
          <w:rFonts w:hint="default" w:ascii="Times New Roman" w:hAnsi="Times New Roman" w:cs="Times New Roman"/>
          <w:sz w:val="21"/>
          <w:szCs w:val="22"/>
        </w:rPr>
        <w:t>，并充分参考国内外ESG评价体系，制定</w:t>
      </w:r>
      <w:r>
        <w:rPr>
          <w:rFonts w:hint="eastAsia" w:cs="Times New Roman"/>
          <w:sz w:val="21"/>
          <w:szCs w:val="22"/>
          <w:lang w:val="en-US" w:eastAsia="zh-CN"/>
        </w:rPr>
        <w:t>而成</w:t>
      </w:r>
      <w:r>
        <w:rPr>
          <w:rFonts w:hint="default" w:ascii="Times New Roman" w:hAnsi="Times New Roman" w:cs="Times New Roman"/>
          <w:sz w:val="21"/>
          <w:szCs w:val="22"/>
        </w:rPr>
        <w:t>的企业ESG</w:t>
      </w: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>评价</w:t>
      </w:r>
      <w:r>
        <w:rPr>
          <w:rFonts w:hint="default" w:ascii="Times New Roman" w:hAnsi="Times New Roman" w:cs="Times New Roman"/>
          <w:sz w:val="21"/>
          <w:szCs w:val="22"/>
        </w:rPr>
        <w:t>指导文件。本文件从环境、社会、公司治理三大维度构建</w:t>
      </w:r>
      <w:r>
        <w:rPr>
          <w:rFonts w:hint="eastAsia" w:cs="Times New Roman"/>
          <w:sz w:val="21"/>
          <w:szCs w:val="22"/>
          <w:lang w:val="en-US" w:eastAsia="zh-CN"/>
        </w:rPr>
        <w:t>物业服务</w:t>
      </w:r>
      <w:r>
        <w:rPr>
          <w:rFonts w:hint="default" w:ascii="Times New Roman" w:hAnsi="Times New Roman" w:cs="Times New Roman"/>
          <w:sz w:val="21"/>
          <w:szCs w:val="22"/>
        </w:rPr>
        <w:t>企业ESG评价体系，为</w:t>
      </w:r>
      <w:r>
        <w:rPr>
          <w:rFonts w:hint="eastAsia" w:cs="Times New Roman"/>
          <w:sz w:val="21"/>
          <w:szCs w:val="22"/>
          <w:lang w:val="en-US" w:eastAsia="zh-CN"/>
        </w:rPr>
        <w:t>行业</w:t>
      </w:r>
      <w:r>
        <w:rPr>
          <w:rFonts w:hint="default" w:ascii="Times New Roman" w:hAnsi="Times New Roman" w:cs="Times New Roman"/>
          <w:sz w:val="21"/>
          <w:szCs w:val="22"/>
        </w:rPr>
        <w:t>开展ESG评价提供基础指导框架与有效工具，</w:t>
      </w: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>以</w:t>
      </w:r>
      <w:r>
        <w:rPr>
          <w:rFonts w:hint="default" w:ascii="Times New Roman" w:hAnsi="Times New Roman" w:cs="Times New Roman"/>
          <w:sz w:val="21"/>
          <w:szCs w:val="22"/>
        </w:rPr>
        <w:t>促进</w:t>
      </w:r>
      <w:r>
        <w:rPr>
          <w:rFonts w:hint="eastAsia" w:cs="Times New Roman"/>
          <w:sz w:val="21"/>
          <w:szCs w:val="22"/>
          <w:lang w:val="en-US" w:eastAsia="zh-CN"/>
        </w:rPr>
        <w:t>物业服务</w:t>
      </w:r>
      <w:r>
        <w:rPr>
          <w:rFonts w:hint="default" w:ascii="Times New Roman" w:hAnsi="Times New Roman" w:cs="Times New Roman"/>
          <w:sz w:val="21"/>
          <w:szCs w:val="22"/>
        </w:rPr>
        <w:t>企业ESG评价</w:t>
      </w: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>工作的</w:t>
      </w:r>
      <w:r>
        <w:rPr>
          <w:rFonts w:hint="default" w:ascii="Times New Roman" w:hAnsi="Times New Roman" w:cs="Times New Roman"/>
          <w:sz w:val="21"/>
          <w:szCs w:val="22"/>
        </w:rPr>
        <w:t>科学性、</w:t>
      </w: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>适用性、公正性、平衡</w:t>
      </w:r>
      <w:r>
        <w:rPr>
          <w:rFonts w:hint="default" w:ascii="Times New Roman" w:hAnsi="Times New Roman" w:cs="Times New Roman"/>
          <w:sz w:val="21"/>
          <w:szCs w:val="22"/>
        </w:rPr>
        <w:t>性</w:t>
      </w: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>和可比性</w:t>
      </w:r>
      <w:r>
        <w:rPr>
          <w:rFonts w:hint="default" w:ascii="Times New Roman" w:hAnsi="Times New Roman" w:cs="Times New Roman"/>
          <w:sz w:val="21"/>
          <w:szCs w:val="22"/>
        </w:rPr>
        <w:t>，</w:t>
      </w:r>
      <w:r>
        <w:rPr>
          <w:rFonts w:hint="eastAsia" w:ascii="Times New Roman" w:hAnsi="Times New Roman" w:cs="Times New Roman"/>
          <w:sz w:val="21"/>
          <w:szCs w:val="22"/>
        </w:rPr>
        <w:t>帮助</w:t>
      </w:r>
      <w:r>
        <w:rPr>
          <w:rFonts w:hint="eastAsia" w:cs="Times New Roman"/>
          <w:sz w:val="21"/>
          <w:szCs w:val="22"/>
          <w:lang w:val="en-US" w:eastAsia="zh-CN"/>
        </w:rPr>
        <w:t>物业服务</w:t>
      </w:r>
      <w:r>
        <w:rPr>
          <w:rFonts w:hint="eastAsia" w:ascii="Times New Roman" w:hAnsi="Times New Roman" w:cs="Times New Roman"/>
          <w:sz w:val="21"/>
          <w:szCs w:val="22"/>
        </w:rPr>
        <w:t>企业适应</w:t>
      </w: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>ESG</w:t>
      </w:r>
      <w:r>
        <w:rPr>
          <w:rFonts w:hint="eastAsia" w:ascii="Times New Roman" w:hAnsi="Times New Roman" w:cs="Times New Roman"/>
          <w:sz w:val="21"/>
          <w:szCs w:val="22"/>
        </w:rPr>
        <w:t>新</w:t>
      </w: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>趋势、新变化</w:t>
      </w:r>
      <w:r>
        <w:rPr>
          <w:rFonts w:hint="eastAsia" w:ascii="Times New Roman" w:hAnsi="Times New Roman" w:cs="Times New Roman"/>
          <w:sz w:val="21"/>
          <w:szCs w:val="22"/>
        </w:rPr>
        <w:t>，深入开展E</w:t>
      </w:r>
      <w:r>
        <w:rPr>
          <w:rFonts w:hint="default" w:ascii="Times New Roman" w:hAnsi="Times New Roman" w:cs="Times New Roman"/>
          <w:sz w:val="21"/>
          <w:szCs w:val="22"/>
        </w:rPr>
        <w:t>SG</w:t>
      </w:r>
      <w:r>
        <w:rPr>
          <w:rFonts w:hint="eastAsia" w:ascii="Times New Roman" w:hAnsi="Times New Roman" w:cs="Times New Roman"/>
          <w:sz w:val="21"/>
          <w:szCs w:val="22"/>
        </w:rPr>
        <w:t>管理与实践，</w:t>
      </w:r>
      <w:r>
        <w:rPr>
          <w:rFonts w:hint="default" w:ascii="Times New Roman" w:hAnsi="Times New Roman" w:cs="Times New Roman"/>
          <w:sz w:val="21"/>
          <w:szCs w:val="22"/>
        </w:rPr>
        <w:t>提升企业</w:t>
      </w:r>
      <w:r>
        <w:rPr>
          <w:rFonts w:hint="eastAsia" w:ascii="Times New Roman" w:hAnsi="Times New Roman" w:cs="Times New Roman"/>
          <w:sz w:val="21"/>
          <w:szCs w:val="22"/>
        </w:rPr>
        <w:t>长期价值</w:t>
      </w:r>
      <w:r>
        <w:rPr>
          <w:rFonts w:hint="eastAsia" w:ascii="Times New Roman" w:hAnsi="Times New Roman" w:cs="Times New Roman"/>
          <w:sz w:val="21"/>
          <w:szCs w:val="22"/>
          <w:lang w:eastAsia="zh-CN"/>
        </w:rPr>
        <w:t>，</w:t>
      </w: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>进而</w:t>
      </w:r>
      <w:r>
        <w:rPr>
          <w:rFonts w:hint="eastAsia" w:ascii="Times New Roman" w:hAnsi="Times New Roman" w:cs="Times New Roman"/>
          <w:sz w:val="21"/>
          <w:szCs w:val="22"/>
        </w:rPr>
        <w:t>推动行业进步、促进可持续发展。</w:t>
      </w:r>
    </w:p>
    <w:p w14:paraId="001B944F">
      <w:pPr>
        <w:autoSpaceDE w:val="0"/>
        <w:autoSpaceDN w:val="0"/>
        <w:adjustRightInd w:val="0"/>
        <w:ind w:firstLine="640" w:firstLineChars="20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  <w:sectPr>
          <w:footerReference r:id="rId7" w:type="default"/>
          <w:type w:val="continuous"/>
          <w:pgSz w:w="11906" w:h="16838"/>
          <w:pgMar w:top="567" w:right="1129" w:bottom="1134" w:left="1417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468F7C58">
      <w:pPr>
        <w:autoSpaceDE w:val="0"/>
        <w:autoSpaceDN w:val="0"/>
        <w:adjustRightInd w:val="0"/>
        <w:ind w:firstLine="0" w:firstLineChars="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2C50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640" w:after="560" w:line="4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物业服务企业环境、社会和治理（ESG）评价规范</w:t>
      </w:r>
    </w:p>
    <w:p w14:paraId="3D69664F">
      <w:pPr>
        <w:pStyle w:val="2"/>
        <w:bidi w:val="0"/>
        <w:ind w:firstLine="0" w:firstLineChars="0"/>
        <w:rPr>
          <w:b w:val="0"/>
          <w:bCs w:val="0"/>
          <w:sz w:val="21"/>
          <w:szCs w:val="21"/>
        </w:rPr>
      </w:pPr>
      <w:bookmarkStart w:id="12" w:name="_Toc26774"/>
      <w:bookmarkStart w:id="13" w:name="_Toc31273"/>
      <w:bookmarkStart w:id="14" w:name="_Toc9169"/>
      <w:bookmarkStart w:id="15" w:name="_Toc5078"/>
      <w:bookmarkStart w:id="16" w:name="_Toc8561"/>
      <w:bookmarkStart w:id="17" w:name="_Toc20751"/>
      <w:bookmarkStart w:id="18" w:name="_Toc625395549"/>
      <w:bookmarkStart w:id="19" w:name="_Toc10947"/>
      <w:bookmarkStart w:id="20" w:name="_Toc1366"/>
      <w:r>
        <w:rPr>
          <w:rFonts w:hint="eastAsia"/>
          <w:b w:val="0"/>
          <w:bCs w:val="0"/>
          <w:sz w:val="21"/>
          <w:szCs w:val="21"/>
        </w:rPr>
        <w:t>1 范围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607276B1">
      <w:pPr>
        <w:bidi w:val="0"/>
        <w:spacing w:line="240" w:lineRule="auto"/>
        <w:rPr>
          <w:rFonts w:hint="default"/>
          <w:b w:val="0"/>
          <w:bCs w:val="0"/>
          <w:color w:val="auto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本文件规定了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物业服务企业环境、社会和治理（ESG）评价</w:t>
      </w:r>
      <w:r>
        <w:rPr>
          <w:rFonts w:hint="default"/>
          <w:b w:val="0"/>
          <w:bCs w:val="0"/>
          <w:color w:val="auto"/>
          <w:sz w:val="21"/>
          <w:szCs w:val="21"/>
        </w:rPr>
        <w:t>的评价原则、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评价内容</w:t>
      </w:r>
      <w:r>
        <w:rPr>
          <w:rFonts w:hint="default"/>
          <w:b w:val="0"/>
          <w:bCs w:val="0"/>
          <w:color w:val="auto"/>
          <w:sz w:val="21"/>
          <w:szCs w:val="21"/>
        </w:rPr>
        <w:t>、评价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组织</w:t>
      </w:r>
      <w:r>
        <w:rPr>
          <w:rFonts w:hint="default"/>
          <w:b w:val="0"/>
          <w:bCs w:val="0"/>
          <w:color w:val="auto"/>
          <w:sz w:val="21"/>
          <w:szCs w:val="21"/>
        </w:rPr>
        <w:t>、评价流程</w:t>
      </w:r>
      <w:r>
        <w:rPr>
          <w:rFonts w:hint="eastAsia"/>
          <w:b w:val="0"/>
          <w:bCs w:val="0"/>
          <w:color w:val="auto"/>
          <w:sz w:val="21"/>
          <w:szCs w:val="21"/>
          <w:lang w:eastAsia="zh-CN"/>
        </w:rPr>
        <w:t>的要求</w:t>
      </w:r>
      <w:r>
        <w:rPr>
          <w:rFonts w:hint="default"/>
          <w:b w:val="0"/>
          <w:bCs w:val="0"/>
          <w:color w:val="auto"/>
          <w:sz w:val="21"/>
          <w:szCs w:val="21"/>
        </w:rPr>
        <w:t>。</w:t>
      </w:r>
    </w:p>
    <w:p w14:paraId="2C1890C4">
      <w:pPr>
        <w:bidi w:val="0"/>
        <w:spacing w:line="240" w:lineRule="auto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color w:val="auto"/>
          <w:sz w:val="21"/>
          <w:szCs w:val="21"/>
        </w:rPr>
        <w:t>本文件适用于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物业服务</w:t>
      </w:r>
      <w:r>
        <w:rPr>
          <w:rFonts w:hint="default"/>
          <w:b w:val="0"/>
          <w:bCs w:val="0"/>
          <w:color w:val="auto"/>
          <w:sz w:val="21"/>
          <w:szCs w:val="21"/>
          <w:highlight w:val="none"/>
        </w:rPr>
        <w:t>企业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的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ESG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评价</w:t>
      </w:r>
      <w:r>
        <w:rPr>
          <w:rFonts w:hint="default"/>
          <w:b w:val="0"/>
          <w:bCs w:val="0"/>
          <w:sz w:val="21"/>
          <w:szCs w:val="21"/>
        </w:rPr>
        <w:t>。</w:t>
      </w:r>
    </w:p>
    <w:p w14:paraId="0C737CF2">
      <w:pPr>
        <w:pStyle w:val="2"/>
        <w:bidi w:val="0"/>
        <w:ind w:firstLine="0" w:firstLineChars="0"/>
        <w:rPr>
          <w:rFonts w:hint="eastAsia"/>
          <w:b w:val="0"/>
          <w:bCs w:val="0"/>
          <w:sz w:val="21"/>
          <w:szCs w:val="21"/>
          <w:lang w:eastAsia="zh-CN"/>
        </w:rPr>
      </w:pPr>
      <w:bookmarkStart w:id="21" w:name="_Toc13265"/>
      <w:bookmarkStart w:id="22" w:name="_Toc2905"/>
      <w:bookmarkStart w:id="23" w:name="_Toc17259"/>
      <w:bookmarkStart w:id="24" w:name="_Toc21069"/>
      <w:bookmarkStart w:id="25" w:name="_Toc17799"/>
      <w:bookmarkStart w:id="26" w:name="_Toc13533"/>
      <w:bookmarkStart w:id="27" w:name="_Toc28037"/>
      <w:bookmarkStart w:id="28" w:name="_Toc30868"/>
      <w:bookmarkStart w:id="29" w:name="_Toc494009592"/>
      <w:r>
        <w:rPr>
          <w:rFonts w:hint="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default"/>
          <w:b w:val="0"/>
          <w:bCs w:val="0"/>
          <w:sz w:val="21"/>
          <w:szCs w:val="21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eastAsia="zh-CN"/>
        </w:rPr>
        <w:t>规范性引用文件</w:t>
      </w:r>
      <w:bookmarkEnd w:id="21"/>
      <w:bookmarkEnd w:id="22"/>
    </w:p>
    <w:p w14:paraId="1C265504">
      <w:pPr>
        <w:spacing w:line="240" w:lineRule="auto"/>
        <w:rPr>
          <w:rFonts w:hint="eastAsia"/>
          <w:lang w:eastAsia="zh-CN"/>
        </w:rPr>
      </w:pPr>
      <w:r>
        <w:rPr>
          <w:rFonts w:hint="default"/>
          <w:b w:val="0"/>
          <w:bCs w:val="0"/>
          <w:color w:val="auto"/>
          <w:sz w:val="21"/>
          <w:szCs w:val="21"/>
        </w:rPr>
        <w:t>本文件</w:t>
      </w:r>
      <w:r>
        <w:rPr>
          <w:rFonts w:hint="eastAsia"/>
          <w:b w:val="0"/>
          <w:bCs w:val="0"/>
          <w:color w:val="auto"/>
          <w:sz w:val="21"/>
          <w:szCs w:val="21"/>
          <w:lang w:eastAsia="zh-CN"/>
        </w:rPr>
        <w:t>没有规范性引用文件</w:t>
      </w:r>
      <w:r>
        <w:rPr>
          <w:rFonts w:hint="default"/>
          <w:b w:val="0"/>
          <w:bCs w:val="0"/>
          <w:sz w:val="21"/>
          <w:szCs w:val="21"/>
        </w:rPr>
        <w:t>。</w:t>
      </w:r>
    </w:p>
    <w:p w14:paraId="6560FD57">
      <w:pPr>
        <w:pStyle w:val="2"/>
        <w:bidi w:val="0"/>
        <w:ind w:firstLine="0" w:firstLineChars="0"/>
        <w:rPr>
          <w:rFonts w:hint="default"/>
          <w:b w:val="0"/>
          <w:bCs w:val="0"/>
          <w:sz w:val="21"/>
          <w:szCs w:val="21"/>
        </w:rPr>
      </w:pPr>
      <w:bookmarkStart w:id="30" w:name="_Toc8623"/>
      <w:bookmarkStart w:id="31" w:name="_Toc4370"/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3 </w:t>
      </w:r>
      <w:r>
        <w:rPr>
          <w:rFonts w:hint="default"/>
          <w:b w:val="0"/>
          <w:bCs w:val="0"/>
          <w:sz w:val="21"/>
          <w:szCs w:val="21"/>
        </w:rPr>
        <w:t>术语和定义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5319C75">
      <w:pPr>
        <w:autoSpaceDE/>
        <w:autoSpaceDN/>
        <w:spacing w:beforeLines="0" w:afterLines="0" w:line="240" w:lineRule="auto"/>
        <w:ind w:firstLine="480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32" w:name="_Toc12400"/>
      <w:bookmarkStart w:id="33" w:name="_Toc7167"/>
      <w:bookmarkStart w:id="34" w:name="_Toc43317585"/>
      <w:bookmarkStart w:id="35" w:name="_Toc14618"/>
      <w:bookmarkStart w:id="36" w:name="_Toc26478"/>
      <w:bookmarkStart w:id="37" w:name="_Toc22278"/>
      <w:bookmarkStart w:id="38" w:name="_Toc24489"/>
      <w:bookmarkStart w:id="39" w:name="_Toc18681"/>
      <w:bookmarkStart w:id="40" w:name="_Toc3144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下列术语和定义适用于本文件。</w:t>
      </w:r>
    </w:p>
    <w:p w14:paraId="764551C9">
      <w:pPr>
        <w:adjustRightInd/>
        <w:ind w:left="0" w:leftChars="0" w:firstLine="0" w:firstLineChars="0"/>
        <w:outlineLvl w:val="9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bookmarkStart w:id="41" w:name="_Toc3537"/>
      <w:bookmarkStart w:id="42" w:name="_Toc2722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3.</w:t>
      </w:r>
      <w:bookmarkEnd w:id="32"/>
      <w:bookmarkEnd w:id="33"/>
      <w:bookmarkEnd w:id="34"/>
      <w:bookmarkEnd w:id="35"/>
      <w:bookmarkEnd w:id="36"/>
      <w:bookmarkEnd w:id="37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1</w:t>
      </w:r>
      <w:bookmarkEnd w:id="38"/>
      <w:bookmarkEnd w:id="39"/>
      <w:bookmarkEnd w:id="40"/>
      <w:bookmarkEnd w:id="41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 </w:t>
      </w:r>
    </w:p>
    <w:p w14:paraId="1EEA048F">
      <w:pPr>
        <w:outlineLvl w:val="9"/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</w:pPr>
      <w:bookmarkStart w:id="43" w:name="_Toc10948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ESG </w:t>
      </w:r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environmental, social and governance</w:t>
      </w:r>
      <w:bookmarkEnd w:id="42"/>
      <w:bookmarkEnd w:id="43"/>
    </w:p>
    <w:p w14:paraId="27FCA4AA">
      <w:pPr>
        <w:autoSpaceDE/>
        <w:autoSpaceDN/>
        <w:spacing w:beforeLines="0" w:afterLines="0" w:line="240" w:lineRule="auto"/>
        <w:ind w:firstLine="420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44" w:name="_Hlk47511338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一种关注企业环境责任、社会责任、公司治理绩效的投资理念和企业评价标准，是影响投资者决策以及衡量企业可持续发展能力的关键因素。</w:t>
      </w:r>
      <w:bookmarkEnd w:id="44"/>
    </w:p>
    <w:p w14:paraId="0A0CE47D">
      <w:pPr>
        <w:adjustRightInd/>
        <w:ind w:left="-1" w:leftChars="0" w:firstLine="0" w:firstLineChars="0"/>
        <w:outlineLvl w:val="9"/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</w:pPr>
      <w:bookmarkStart w:id="45" w:name="_Toc7536"/>
      <w:bookmarkStart w:id="46" w:name="_Toc219"/>
      <w:bookmarkStart w:id="47" w:name="_Toc18054"/>
      <w:bookmarkStart w:id="48" w:name="_Toc29481"/>
      <w:bookmarkStart w:id="49" w:name="_Toc23452"/>
      <w:bookmarkStart w:id="50" w:name="_Toc24558"/>
      <w:bookmarkStart w:id="51" w:name="_Toc26437"/>
      <w:bookmarkStart w:id="52" w:name="_Toc2258"/>
      <w:bookmarkStart w:id="53" w:name="_Toc9097"/>
      <w:bookmarkStart w:id="54" w:name="_Toc29117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3.</w:t>
      </w:r>
      <w:bookmarkEnd w:id="45"/>
      <w:bookmarkEnd w:id="46"/>
      <w:bookmarkEnd w:id="47"/>
      <w:bookmarkEnd w:id="48"/>
      <w:bookmarkEnd w:id="49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2</w:t>
      </w:r>
      <w:bookmarkEnd w:id="50"/>
      <w:bookmarkEnd w:id="51"/>
      <w:bookmarkEnd w:id="52"/>
      <w:bookmarkEnd w:id="53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 xml:space="preserve"> </w:t>
      </w:r>
    </w:p>
    <w:p w14:paraId="513F8265">
      <w:pPr>
        <w:outlineLvl w:val="9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bookmarkStart w:id="55" w:name="_Toc28368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环境责任 environmental responsibility</w:t>
      </w:r>
      <w:bookmarkEnd w:id="54"/>
      <w:bookmarkEnd w:id="55"/>
    </w:p>
    <w:p w14:paraId="4EADEB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240" w:lineRule="auto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  <w:t>企业通过透明和合乎道德的行为，为其决策和活动对其运行所处的自然环境造成的影响而</w:t>
      </w:r>
      <w:r>
        <w:rPr>
          <w:rFonts w:hint="eastAsia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>承担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  <w:t>的责任。</w:t>
      </w:r>
    </w:p>
    <w:p w14:paraId="2ED1D461">
      <w:pPr>
        <w:adjustRightInd/>
        <w:ind w:left="0" w:leftChars="0" w:firstLine="0" w:firstLineChars="0"/>
        <w:outlineLvl w:val="9"/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</w:pPr>
      <w:bookmarkStart w:id="56" w:name="_Toc12284"/>
      <w:bookmarkStart w:id="57" w:name="_Toc31953"/>
      <w:bookmarkStart w:id="58" w:name="_Toc2636"/>
      <w:bookmarkStart w:id="59" w:name="_Toc1708"/>
      <w:bookmarkStart w:id="60" w:name="_Toc16108"/>
      <w:bookmarkStart w:id="61" w:name="_Toc31373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3.</w:t>
      </w:r>
      <w:bookmarkEnd w:id="56"/>
      <w:bookmarkEnd w:id="57"/>
      <w:bookmarkEnd w:id="58"/>
      <w:bookmarkEnd w:id="59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3</w:t>
      </w:r>
      <w:bookmarkEnd w:id="60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 xml:space="preserve"> </w:t>
      </w:r>
    </w:p>
    <w:p w14:paraId="5908B8E8">
      <w:pPr>
        <w:outlineLvl w:val="9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bookmarkStart w:id="62" w:name="_Toc179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社会责任 social responsibility</w:t>
      </w:r>
      <w:bookmarkEnd w:id="61"/>
      <w:bookmarkEnd w:id="62"/>
    </w:p>
    <w:p w14:paraId="5E7916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240" w:lineRule="auto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  <w:t>企业通过透明和合乎道德的行为，为其决策和活动对社会的影响而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>承担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  <w:t>的责任。</w:t>
      </w:r>
    </w:p>
    <w:p w14:paraId="2CDAAB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240" w:lineRule="auto"/>
        <w:ind w:left="880" w:leftChars="200" w:hanging="400" w:hanging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0"/>
          <w:szCs w:val="20"/>
          <w:lang w:eastAsia="zh-CN"/>
        </w:rPr>
        <w:t>注</w:t>
      </w:r>
      <w:r>
        <w:rPr>
          <w:rFonts w:hint="eastAsia" w:cs="Times New Roman"/>
          <w:b w:val="0"/>
          <w:bCs w:val="0"/>
          <w:color w:val="000000"/>
          <w:kern w:val="0"/>
          <w:sz w:val="20"/>
          <w:szCs w:val="20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</w:rPr>
        <w:t>这些行为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  <w:lang w:val="en-US" w:eastAsia="zh-CN"/>
        </w:rPr>
        <w:t>包括：充分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</w:rPr>
        <w:t>考虑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  <w:lang w:val="en-US" w:eastAsia="zh-CN"/>
        </w:rPr>
        <w:t>并回应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</w:rPr>
        <w:t>利益相关方的期望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0"/>
          <w:szCs w:val="20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</w:rPr>
        <w:t>致力于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  <w:lang w:val="en-US" w:eastAsia="zh-CN"/>
        </w:rPr>
        <w:t>推动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</w:rPr>
        <w:t>社会成员的健康和社会的福祉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0"/>
          <w:szCs w:val="20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  <w:lang w:val="en-US" w:eastAsia="zh-CN"/>
        </w:rPr>
        <w:t>推动价值链上下游以更负责任、更可持续的方式发展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0"/>
          <w:szCs w:val="20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</w:rPr>
        <w:t>符合适用的法律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  <w:lang w:val="en-US" w:eastAsia="zh-CN"/>
        </w:rPr>
        <w:t>规范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0"/>
          <w:szCs w:val="20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  <w:lang w:val="en-US" w:eastAsia="zh-CN"/>
        </w:rPr>
        <w:t>充分考虑将对社会的承诺融入企业经营与文化中，并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0"/>
          <w:szCs w:val="20"/>
        </w:rPr>
        <w:t>在企业关系中实施。</w:t>
      </w:r>
    </w:p>
    <w:p w14:paraId="30988740">
      <w:pPr>
        <w:adjustRightInd/>
        <w:ind w:left="-1" w:leftChars="0" w:firstLine="0" w:firstLineChars="0"/>
        <w:outlineLvl w:val="9"/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</w:pPr>
      <w:bookmarkStart w:id="63" w:name="_Toc9951"/>
      <w:bookmarkStart w:id="64" w:name="_Toc12398"/>
      <w:bookmarkStart w:id="65" w:name="_Toc12713"/>
      <w:bookmarkStart w:id="66" w:name="_Toc21135"/>
      <w:bookmarkStart w:id="67" w:name="_Toc15792"/>
      <w:bookmarkStart w:id="68" w:name="_Toc2651"/>
      <w:bookmarkStart w:id="69" w:name="_Toc7428"/>
      <w:bookmarkStart w:id="70" w:name="_Toc30848"/>
      <w:bookmarkStart w:id="71" w:name="_Toc3385"/>
      <w:bookmarkStart w:id="72" w:name="_Toc31080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3.</w:t>
      </w:r>
      <w:bookmarkEnd w:id="63"/>
      <w:bookmarkEnd w:id="64"/>
      <w:bookmarkEnd w:id="65"/>
      <w:bookmarkEnd w:id="66"/>
      <w:bookmarkEnd w:id="67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4</w:t>
      </w:r>
      <w:bookmarkEnd w:id="68"/>
      <w:bookmarkEnd w:id="69"/>
      <w:bookmarkEnd w:id="70"/>
      <w:bookmarkEnd w:id="71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 xml:space="preserve"> </w:t>
      </w:r>
    </w:p>
    <w:p w14:paraId="046AFAA8">
      <w:pPr>
        <w:outlineLvl w:val="9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bookmarkStart w:id="73" w:name="_Toc31110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公司治理 corporate governance</w:t>
      </w:r>
      <w:bookmarkEnd w:id="72"/>
      <w:bookmarkEnd w:id="73"/>
    </w:p>
    <w:p w14:paraId="385B9F56">
      <w:pPr>
        <w:autoSpaceDE/>
        <w:autoSpaceDN/>
        <w:spacing w:beforeLines="0" w:afterLines="0" w:line="240" w:lineRule="auto"/>
        <w:ind w:firstLine="420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  <w:t>在企业的经营中实行的管理和控制系统，包括批准战略方向、监视和评价高层领导绩效、财务审计、风险管理、信息披露等活动。</w:t>
      </w:r>
    </w:p>
    <w:p w14:paraId="1C5DA7DC">
      <w:pPr>
        <w:ind w:left="-1" w:leftChars="0" w:firstLine="0" w:firstLineChars="0"/>
        <w:outlineLvl w:val="9"/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</w:pPr>
      <w:bookmarkStart w:id="74" w:name="_Toc21522"/>
      <w:bookmarkStart w:id="75" w:name="_Toc14073"/>
      <w:bookmarkStart w:id="76" w:name="_Toc21243"/>
      <w:bookmarkStart w:id="77" w:name="_Toc2192"/>
      <w:bookmarkStart w:id="78" w:name="_Toc18044"/>
      <w:bookmarkStart w:id="79" w:name="_Toc11216"/>
      <w:bookmarkStart w:id="80" w:name="_Toc26803"/>
      <w:bookmarkStart w:id="81" w:name="_Toc12626"/>
      <w:bookmarkStart w:id="82" w:name="_Toc10418"/>
      <w:bookmarkStart w:id="83" w:name="_Toc30178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3.</w:t>
      </w:r>
      <w:bookmarkEnd w:id="74"/>
      <w:bookmarkEnd w:id="75"/>
      <w:bookmarkEnd w:id="76"/>
      <w:bookmarkEnd w:id="77"/>
      <w:bookmarkEnd w:id="78"/>
      <w:bookmarkEnd w:id="79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5</w:t>
      </w:r>
      <w:bookmarkEnd w:id="80"/>
      <w:bookmarkEnd w:id="81"/>
      <w:bookmarkEnd w:id="82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 xml:space="preserve"> </w:t>
      </w:r>
    </w:p>
    <w:p w14:paraId="53AFC70D">
      <w:pPr>
        <w:outlineLvl w:val="9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bookmarkStart w:id="84" w:name="_Toc484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碳排放 carbon emission</w:t>
      </w:r>
      <w:bookmarkEnd w:id="83"/>
      <w:bookmarkEnd w:id="84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 </w:t>
      </w:r>
    </w:p>
    <w:p w14:paraId="2670024F">
      <w:pPr>
        <w:autoSpaceDE/>
        <w:autoSpaceDN/>
        <w:spacing w:beforeLines="0" w:afterLines="0" w:line="240" w:lineRule="auto"/>
        <w:ind w:firstLine="420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>是关于温室气体排放的一个总称或简称。温室气体中最主要的气体是二氧化碳，因此用碳（</w:t>
      </w:r>
      <w:r>
        <w:rPr>
          <w:rFonts w:hint="eastAsia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>arbon）一词作为代表。</w:t>
      </w:r>
    </w:p>
    <w:p w14:paraId="2DF9AB3A">
      <w:pPr>
        <w:pStyle w:val="2"/>
        <w:bidi w:val="0"/>
        <w:ind w:firstLine="0" w:firstLineChars="0"/>
        <w:rPr>
          <w:rFonts w:hint="default"/>
          <w:b w:val="0"/>
          <w:bCs w:val="0"/>
          <w:sz w:val="21"/>
          <w:szCs w:val="21"/>
        </w:rPr>
      </w:pPr>
      <w:bookmarkStart w:id="85" w:name="_Toc10326"/>
      <w:bookmarkStart w:id="86" w:name="_Toc14688"/>
      <w:bookmarkStart w:id="87" w:name="_Toc9978"/>
      <w:bookmarkStart w:id="88" w:name="_Toc647433442"/>
      <w:bookmarkStart w:id="89" w:name="_Toc1668"/>
      <w:bookmarkStart w:id="90" w:name="_Toc16390"/>
      <w:bookmarkStart w:id="91" w:name="_Toc28344"/>
      <w:bookmarkStart w:id="92" w:name="_Toc28691"/>
      <w:bookmarkStart w:id="93" w:name="_Toc14801"/>
      <w:r>
        <w:rPr>
          <w:rFonts w:hint="eastAsia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default"/>
          <w:b w:val="0"/>
          <w:bCs w:val="0"/>
          <w:sz w:val="21"/>
          <w:szCs w:val="21"/>
        </w:rPr>
        <w:t xml:space="preserve"> </w:t>
      </w:r>
      <w:bookmarkEnd w:id="85"/>
      <w:r>
        <w:rPr>
          <w:rFonts w:hint="eastAsia"/>
          <w:b w:val="0"/>
          <w:bCs w:val="0"/>
          <w:sz w:val="21"/>
          <w:szCs w:val="21"/>
          <w:lang w:val="en-US" w:eastAsia="zh-CN"/>
        </w:rPr>
        <w:t>评价</w:t>
      </w:r>
      <w:r>
        <w:rPr>
          <w:rFonts w:hint="default"/>
          <w:b w:val="0"/>
          <w:bCs w:val="0"/>
          <w:sz w:val="21"/>
          <w:szCs w:val="21"/>
        </w:rPr>
        <w:t>原则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7B83707C">
      <w:pPr>
        <w:pStyle w:val="4"/>
        <w:bidi w:val="0"/>
        <w:spacing w:line="240" w:lineRule="auto"/>
        <w:ind w:firstLine="0" w:firstLineChars="0"/>
        <w:outlineLvl w:val="1"/>
        <w:rPr>
          <w:rFonts w:hint="default"/>
          <w:b w:val="0"/>
          <w:bCs w:val="0"/>
          <w:sz w:val="21"/>
          <w:szCs w:val="21"/>
          <w:lang w:val="en-US" w:eastAsia="zh-CN"/>
        </w:rPr>
      </w:pPr>
      <w:bookmarkStart w:id="94" w:name="_Toc234"/>
      <w:bookmarkStart w:id="95" w:name="_Toc14509"/>
      <w:bookmarkStart w:id="96" w:name="_Toc114220345"/>
      <w:bookmarkStart w:id="97" w:name="_Toc28954"/>
      <w:bookmarkStart w:id="98" w:name="_Toc11997"/>
      <w:bookmarkStart w:id="99" w:name="_Toc9249"/>
      <w:bookmarkStart w:id="100" w:name="_Toc31995"/>
      <w:bookmarkStart w:id="101" w:name="_Toc22999"/>
      <w:r>
        <w:rPr>
          <w:rFonts w:hint="eastAsia"/>
          <w:b w:val="0"/>
          <w:bCs w:val="0"/>
          <w:sz w:val="21"/>
          <w:szCs w:val="21"/>
          <w:lang w:val="en-US" w:eastAsia="zh-CN"/>
        </w:rPr>
        <w:t>4.1 科学</w:t>
      </w:r>
      <w:bookmarkEnd w:id="94"/>
      <w:bookmarkEnd w:id="95"/>
      <w:r>
        <w:rPr>
          <w:rFonts w:hint="eastAsia"/>
          <w:b w:val="0"/>
          <w:bCs w:val="0"/>
          <w:sz w:val="21"/>
          <w:szCs w:val="21"/>
          <w:lang w:val="en-US" w:eastAsia="zh-CN"/>
        </w:rPr>
        <w:t>性</w:t>
      </w:r>
      <w:bookmarkEnd w:id="96"/>
      <w:bookmarkEnd w:id="97"/>
      <w:bookmarkEnd w:id="98"/>
      <w:bookmarkEnd w:id="99"/>
    </w:p>
    <w:p w14:paraId="28B0782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0"/>
        <w:textAlignment w:val="auto"/>
        <w:rPr>
          <w:rFonts w:ascii="Times New Roman" w:hAnsi="Times New Roman" w:eastAsia="宋体" w:cs="Calibri"/>
          <w:b w:val="0"/>
          <w:bCs w:val="0"/>
          <w:kern w:val="2"/>
          <w:sz w:val="21"/>
          <w:szCs w:val="21"/>
        </w:rPr>
      </w:pPr>
      <w:r>
        <w:rPr>
          <w:rFonts w:hint="eastAsia" w:ascii="Times New Roman" w:hAnsi="Times New Roman" w:eastAsia="宋体" w:cs="Calibri"/>
          <w:b w:val="0"/>
          <w:bCs w:val="0"/>
          <w:kern w:val="2"/>
          <w:sz w:val="21"/>
          <w:szCs w:val="21"/>
        </w:rPr>
        <w:t>评价过程应遵循科学的方法和程序，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</w:rPr>
        <w:t>结果应透明公开。</w:t>
      </w:r>
      <w:r>
        <w:rPr>
          <w:rFonts w:hint="eastAsia" w:ascii="Times New Roman" w:hAnsi="Times New Roman" w:eastAsia="宋体" w:cs="Calibri"/>
          <w:b w:val="0"/>
          <w:bCs w:val="0"/>
          <w:kern w:val="2"/>
          <w:sz w:val="21"/>
          <w:szCs w:val="21"/>
        </w:rPr>
        <w:t>同时应注重动态性和适应性，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</w:rPr>
        <w:t>以便所有利益相关者能够了解评价的依据、方法和结果</w:t>
      </w:r>
      <w:r>
        <w:rPr>
          <w:rFonts w:hint="eastAsia" w:ascii="Times New Roman" w:hAnsi="Times New Roman" w:eastAsia="宋体" w:cs="Calibri"/>
          <w:b w:val="0"/>
          <w:bCs w:val="0"/>
          <w:kern w:val="2"/>
          <w:sz w:val="21"/>
          <w:szCs w:val="21"/>
        </w:rPr>
        <w:t>。</w:t>
      </w:r>
    </w:p>
    <w:bookmarkEnd w:id="100"/>
    <w:bookmarkEnd w:id="101"/>
    <w:p w14:paraId="56A57FD5">
      <w:pPr>
        <w:pStyle w:val="4"/>
        <w:bidi w:val="0"/>
        <w:spacing w:line="240" w:lineRule="auto"/>
        <w:ind w:firstLine="0" w:firstLineChars="0"/>
        <w:outlineLvl w:val="1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02" w:name="_Toc24818"/>
      <w:bookmarkStart w:id="103" w:name="_Toc8644"/>
      <w:bookmarkStart w:id="104" w:name="_Toc1998441644"/>
      <w:bookmarkStart w:id="105" w:name="_Toc19679"/>
      <w:r>
        <w:rPr>
          <w:rFonts w:hint="eastAsia"/>
          <w:b w:val="0"/>
          <w:bCs w:val="0"/>
          <w:sz w:val="21"/>
          <w:szCs w:val="21"/>
          <w:lang w:val="en-US" w:eastAsia="zh-CN"/>
        </w:rPr>
        <w:t>4.2 适用性</w:t>
      </w:r>
      <w:bookmarkEnd w:id="102"/>
      <w:bookmarkEnd w:id="103"/>
      <w:bookmarkEnd w:id="104"/>
      <w:bookmarkEnd w:id="105"/>
    </w:p>
    <w:p w14:paraId="60AF0C8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Times New Roman" w:hAnsi="Times New Roman" w:eastAsia="宋体" w:cs="Calibri"/>
          <w:b w:val="0"/>
          <w:bCs w:val="0"/>
          <w:kern w:val="2"/>
          <w:sz w:val="21"/>
          <w:szCs w:val="21"/>
        </w:rPr>
      </w:pPr>
      <w:r>
        <w:rPr>
          <w:rFonts w:hint="eastAsia" w:eastAsia="宋体" w:cs="Calibri"/>
          <w:b w:val="0"/>
          <w:bCs w:val="0"/>
          <w:kern w:val="2"/>
          <w:sz w:val="21"/>
          <w:szCs w:val="21"/>
          <w:lang w:val="en-US" w:eastAsia="zh-CN"/>
        </w:rPr>
        <w:t>结合物业管理行业特点，综合考虑物业服务企业发展阶段及利益相关方的需求和期待，全面衡量ESG评价议题及指标的适用性，明确优先级</w:t>
      </w:r>
      <w:r>
        <w:rPr>
          <w:rFonts w:hint="eastAsia" w:ascii="Times New Roman" w:hAnsi="Times New Roman" w:eastAsia="宋体" w:cs="Calibri"/>
          <w:b w:val="0"/>
          <w:bCs w:val="0"/>
          <w:kern w:val="2"/>
          <w:sz w:val="21"/>
          <w:szCs w:val="21"/>
        </w:rPr>
        <w:t>。</w:t>
      </w:r>
    </w:p>
    <w:p w14:paraId="6FF96109">
      <w:pPr>
        <w:pStyle w:val="4"/>
        <w:bidi w:val="0"/>
        <w:spacing w:line="240" w:lineRule="auto"/>
        <w:ind w:firstLine="0" w:firstLineChars="0"/>
        <w:outlineLvl w:val="1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06" w:name="_Toc21799"/>
      <w:bookmarkStart w:id="107" w:name="_Toc29362"/>
      <w:bookmarkStart w:id="108" w:name="_Toc24885"/>
      <w:bookmarkStart w:id="109" w:name="_Toc1164471628"/>
      <w:r>
        <w:rPr>
          <w:rFonts w:hint="eastAsia"/>
          <w:b w:val="0"/>
          <w:bCs w:val="0"/>
          <w:sz w:val="21"/>
          <w:szCs w:val="21"/>
          <w:lang w:val="en-US" w:eastAsia="zh-CN"/>
        </w:rPr>
        <w:t>4.3 公正性</w:t>
      </w:r>
      <w:bookmarkEnd w:id="106"/>
      <w:bookmarkEnd w:id="107"/>
      <w:bookmarkEnd w:id="108"/>
      <w:bookmarkEnd w:id="109"/>
    </w:p>
    <w:p w14:paraId="273C43A6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0"/>
        <w:textAlignment w:val="auto"/>
        <w:rPr>
          <w:rFonts w:hint="default" w:ascii="Times New Roman" w:hAnsi="Times New Roman" w:eastAsia="宋体" w:cs="Calibri"/>
          <w:b w:val="0"/>
          <w:bCs w:val="0"/>
          <w:kern w:val="2"/>
          <w:sz w:val="21"/>
          <w:szCs w:val="21"/>
          <w:highlight w:val="yellow"/>
          <w:lang w:val="en-US" w:eastAsia="zh-CN"/>
        </w:rPr>
      </w:pPr>
      <w:r>
        <w:rPr>
          <w:rFonts w:hint="eastAsia" w:eastAsia="宋体" w:cs="Calibri"/>
          <w:b w:val="0"/>
          <w:bCs w:val="0"/>
          <w:kern w:val="2"/>
          <w:sz w:val="21"/>
          <w:szCs w:val="21"/>
          <w:lang w:val="en-US" w:eastAsia="zh-CN"/>
        </w:rPr>
        <w:t>企业ESG</w:t>
      </w:r>
      <w:r>
        <w:rPr>
          <w:rFonts w:hint="eastAsia" w:ascii="Times New Roman" w:hAnsi="Times New Roman" w:eastAsia="宋体" w:cs="Calibri"/>
          <w:b w:val="0"/>
          <w:bCs w:val="0"/>
          <w:kern w:val="2"/>
          <w:sz w:val="21"/>
          <w:szCs w:val="21"/>
          <w:lang w:val="en-US" w:eastAsia="zh-CN"/>
        </w:rPr>
        <w:t>评价的开展要</w:t>
      </w:r>
      <w:r>
        <w:rPr>
          <w:rFonts w:hint="eastAsia" w:eastAsia="宋体" w:cs="Calibri"/>
          <w:b w:val="0"/>
          <w:bCs w:val="0"/>
          <w:kern w:val="2"/>
          <w:sz w:val="21"/>
          <w:szCs w:val="21"/>
          <w:lang w:val="en-US" w:eastAsia="zh-CN"/>
        </w:rPr>
        <w:t>以事实为依据</w:t>
      </w:r>
      <w:r>
        <w:rPr>
          <w:rFonts w:hint="eastAsia" w:ascii="Times New Roman" w:hAnsi="Times New Roman" w:eastAsia="宋体" w:cs="Calibri"/>
          <w:b w:val="0"/>
          <w:bCs w:val="0"/>
          <w:kern w:val="2"/>
          <w:sz w:val="21"/>
          <w:szCs w:val="21"/>
          <w:lang w:val="en-US" w:eastAsia="zh-CN"/>
        </w:rPr>
        <w:t>，</w:t>
      </w:r>
      <w:r>
        <w:rPr>
          <w:rFonts w:hint="eastAsia" w:eastAsia="宋体" w:cs="Calibri"/>
          <w:b w:val="0"/>
          <w:bCs w:val="0"/>
          <w:kern w:val="2"/>
          <w:sz w:val="21"/>
          <w:szCs w:val="21"/>
          <w:lang w:val="en-US" w:eastAsia="zh-CN"/>
        </w:rPr>
        <w:t>以规范为准则，</w:t>
      </w:r>
      <w:r>
        <w:rPr>
          <w:rFonts w:hint="eastAsia" w:ascii="Times New Roman" w:hAnsi="Times New Roman" w:eastAsia="宋体" w:cs="Calibri"/>
          <w:b w:val="0"/>
          <w:bCs w:val="0"/>
          <w:kern w:val="2"/>
          <w:sz w:val="21"/>
          <w:szCs w:val="21"/>
          <w:lang w:val="en-US" w:eastAsia="zh-CN"/>
        </w:rPr>
        <w:t>公平公正地开展ESG评价工作。</w:t>
      </w:r>
    </w:p>
    <w:p w14:paraId="3CBCE667">
      <w:pPr>
        <w:pStyle w:val="4"/>
        <w:bidi w:val="0"/>
        <w:spacing w:line="240" w:lineRule="auto"/>
        <w:ind w:firstLine="0" w:firstLineChars="0"/>
        <w:outlineLvl w:val="1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10" w:name="_Toc26348"/>
      <w:bookmarkStart w:id="111" w:name="_Toc1256176685"/>
      <w:bookmarkStart w:id="112" w:name="_Toc5314"/>
      <w:bookmarkStart w:id="113" w:name="_Toc29302"/>
      <w:r>
        <w:rPr>
          <w:rFonts w:hint="eastAsia"/>
          <w:b w:val="0"/>
          <w:bCs w:val="0"/>
          <w:sz w:val="21"/>
          <w:szCs w:val="21"/>
          <w:lang w:val="en-US" w:eastAsia="zh-CN"/>
        </w:rPr>
        <w:t>4.4 平衡性</w:t>
      </w:r>
      <w:bookmarkEnd w:id="110"/>
      <w:bookmarkEnd w:id="111"/>
      <w:bookmarkEnd w:id="112"/>
      <w:bookmarkEnd w:id="113"/>
    </w:p>
    <w:p w14:paraId="08A86ED0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0"/>
        <w:textAlignment w:val="auto"/>
        <w:rPr>
          <w:rFonts w:hint="default" w:ascii="Times New Roman" w:hAnsi="Times New Roman" w:eastAsia="宋体" w:cs="Calibri"/>
          <w:b w:val="0"/>
          <w:bCs w:val="0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Calibri"/>
          <w:b w:val="0"/>
          <w:bCs w:val="0"/>
          <w:kern w:val="2"/>
          <w:sz w:val="21"/>
          <w:szCs w:val="21"/>
        </w:rPr>
        <w:t>评价体系</w:t>
      </w:r>
      <w:r>
        <w:rPr>
          <w:rFonts w:hint="eastAsia" w:eastAsia="宋体" w:cs="Calibri"/>
          <w:b w:val="0"/>
          <w:bCs w:val="0"/>
          <w:kern w:val="2"/>
          <w:sz w:val="21"/>
          <w:szCs w:val="21"/>
          <w:lang w:val="en-US" w:eastAsia="zh-CN"/>
        </w:rPr>
        <w:t>应</w:t>
      </w:r>
      <w:r>
        <w:rPr>
          <w:rFonts w:hint="eastAsia" w:ascii="Times New Roman" w:hAnsi="Times New Roman" w:eastAsia="宋体" w:cs="Calibri"/>
          <w:b w:val="0"/>
          <w:bCs w:val="0"/>
          <w:kern w:val="2"/>
          <w:sz w:val="21"/>
          <w:szCs w:val="21"/>
          <w:lang w:val="en-US" w:eastAsia="zh-CN"/>
        </w:rPr>
        <w:t>全面反映</w:t>
      </w:r>
      <w:r>
        <w:rPr>
          <w:rFonts w:hint="eastAsia" w:eastAsia="宋体" w:cs="Calibri"/>
          <w:b w:val="0"/>
          <w:bCs w:val="0"/>
          <w:kern w:val="2"/>
          <w:sz w:val="21"/>
          <w:szCs w:val="21"/>
          <w:lang w:val="en-US" w:eastAsia="zh-CN"/>
        </w:rPr>
        <w:t>企业</w:t>
      </w:r>
      <w:r>
        <w:rPr>
          <w:rFonts w:hint="eastAsia" w:ascii="Times New Roman" w:hAnsi="Times New Roman" w:eastAsia="宋体" w:cs="Calibri"/>
          <w:b w:val="0"/>
          <w:bCs w:val="0"/>
          <w:kern w:val="2"/>
          <w:sz w:val="21"/>
          <w:szCs w:val="21"/>
          <w:lang w:val="en-US" w:eastAsia="zh-CN"/>
        </w:rPr>
        <w:t>绩效的正负两方面，避免遗漏重要信息。</w:t>
      </w:r>
    </w:p>
    <w:p w14:paraId="4FCE0D40">
      <w:pPr>
        <w:pStyle w:val="4"/>
        <w:bidi w:val="0"/>
        <w:spacing w:line="240" w:lineRule="auto"/>
        <w:ind w:firstLine="0" w:firstLineChars="0"/>
        <w:outlineLvl w:val="1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14" w:name="_Toc649811138"/>
      <w:bookmarkStart w:id="115" w:name="_Toc9736"/>
      <w:bookmarkStart w:id="116" w:name="_Toc32068"/>
      <w:bookmarkStart w:id="117" w:name="_Toc30508"/>
      <w:r>
        <w:rPr>
          <w:rFonts w:hint="eastAsia"/>
          <w:b w:val="0"/>
          <w:bCs w:val="0"/>
          <w:sz w:val="21"/>
          <w:szCs w:val="21"/>
          <w:lang w:val="en-US" w:eastAsia="zh-CN"/>
        </w:rPr>
        <w:t>4.5 可比性</w:t>
      </w:r>
      <w:bookmarkEnd w:id="114"/>
      <w:bookmarkEnd w:id="115"/>
      <w:bookmarkEnd w:id="116"/>
      <w:bookmarkEnd w:id="117"/>
    </w:p>
    <w:p w14:paraId="5FE539A1">
      <w:pPr>
        <w:spacing w:line="240" w:lineRule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评价结果可在企业纵向、跨行业横向间进行比较分析，以便利益相关方能够分析企业ESG工作质量的变化。</w:t>
      </w:r>
    </w:p>
    <w:p w14:paraId="6A98F810">
      <w:pPr>
        <w:pStyle w:val="2"/>
        <w:bidi w:val="0"/>
        <w:ind w:firstLine="0" w:firstLineChars="0"/>
        <w:rPr>
          <w:rFonts w:hint="default"/>
          <w:b w:val="0"/>
          <w:bCs w:val="0"/>
          <w:sz w:val="21"/>
          <w:szCs w:val="21"/>
          <w:lang w:val="en-US" w:eastAsia="zh-CN"/>
        </w:rPr>
      </w:pPr>
      <w:bookmarkStart w:id="118" w:name="_Toc15617"/>
      <w:bookmarkStart w:id="119" w:name="_Toc10482"/>
      <w:bookmarkStart w:id="120" w:name="_Toc1421451371"/>
      <w:bookmarkStart w:id="121" w:name="_Toc11406"/>
      <w:r>
        <w:rPr>
          <w:rFonts w:hint="eastAsia"/>
          <w:b w:val="0"/>
          <w:bCs w:val="0"/>
          <w:sz w:val="21"/>
          <w:szCs w:val="21"/>
          <w:lang w:val="en-US" w:eastAsia="zh-CN"/>
        </w:rPr>
        <w:t>5 评价内容</w:t>
      </w:r>
      <w:bookmarkEnd w:id="118"/>
      <w:bookmarkEnd w:id="119"/>
      <w:bookmarkEnd w:id="120"/>
      <w:bookmarkEnd w:id="121"/>
    </w:p>
    <w:p w14:paraId="4908DC9D">
      <w:pPr>
        <w:pStyle w:val="4"/>
        <w:bidi w:val="0"/>
        <w:spacing w:line="240" w:lineRule="auto"/>
        <w:ind w:firstLine="0" w:firstLineChars="0"/>
        <w:outlineLvl w:val="1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22" w:name="_Toc1725103169"/>
      <w:bookmarkStart w:id="123" w:name="_Toc27643"/>
      <w:bookmarkStart w:id="124" w:name="_Toc9397"/>
      <w:bookmarkStart w:id="125" w:name="_Toc4922"/>
      <w:r>
        <w:rPr>
          <w:rFonts w:hint="eastAsia"/>
          <w:b w:val="0"/>
          <w:bCs w:val="0"/>
          <w:sz w:val="21"/>
          <w:szCs w:val="21"/>
          <w:lang w:val="en-US" w:eastAsia="zh-CN"/>
        </w:rPr>
        <w:t>5.1 评价指标</w:t>
      </w:r>
      <w:bookmarkEnd w:id="122"/>
      <w:bookmarkEnd w:id="123"/>
      <w:bookmarkEnd w:id="124"/>
      <w:bookmarkEnd w:id="125"/>
    </w:p>
    <w:p w14:paraId="3963C2A9">
      <w:pPr>
        <w:spacing w:line="240" w:lineRule="auto"/>
        <w:jc w:val="left"/>
        <w:rPr>
          <w:rFonts w:hint="eastAsia" w:cs="Times New Roman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  <w:t>物业服务企业环境、社会和治理（ESG）评价体系</w:t>
      </w:r>
      <w:r>
        <w:rPr>
          <w:rFonts w:hint="eastAsia" w:cs="宋体"/>
          <w:b w:val="0"/>
          <w:bCs w:val="0"/>
          <w:color w:val="000000"/>
          <w:sz w:val="21"/>
          <w:szCs w:val="21"/>
        </w:rPr>
        <w:t>包含</w:t>
      </w:r>
      <w:r>
        <w:rPr>
          <w:rFonts w:hint="eastAsia" w:cs="宋体"/>
          <w:b w:val="0"/>
          <w:bCs w:val="0"/>
          <w:color w:val="000000"/>
          <w:sz w:val="21"/>
          <w:szCs w:val="21"/>
          <w:lang w:eastAsia="zh-CN"/>
        </w:rPr>
        <w:t>环境、社会、</w:t>
      </w:r>
      <w:r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  <w:t>治理三个维度</w:t>
      </w:r>
      <w:r>
        <w:rPr>
          <w:rFonts w:hint="eastAsia" w:cs="宋体"/>
          <w:b w:val="0"/>
          <w:bCs w:val="0"/>
          <w:color w:val="000000"/>
          <w:sz w:val="21"/>
          <w:szCs w:val="21"/>
        </w:rPr>
        <w:t>，</w:t>
      </w:r>
      <w:r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  <w:t>11</w:t>
      </w:r>
      <w:r>
        <w:rPr>
          <w:rFonts w:hint="eastAsia" w:cs="宋体"/>
          <w:b w:val="0"/>
          <w:bCs w:val="0"/>
          <w:color w:val="000000"/>
          <w:sz w:val="21"/>
          <w:szCs w:val="21"/>
        </w:rPr>
        <w:t>个</w:t>
      </w:r>
      <w:r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  <w:t>一级指标和</w:t>
      </w:r>
      <w:r>
        <w:rPr>
          <w:rFonts w:hint="eastAsia" w:cs="宋体"/>
          <w:b w:val="0"/>
          <w:bCs w:val="0"/>
          <w:color w:val="000000"/>
          <w:sz w:val="21"/>
          <w:szCs w:val="21"/>
        </w:rPr>
        <w:t>3</w:t>
      </w:r>
      <w:r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  <w:t>4</w:t>
      </w:r>
      <w:r>
        <w:rPr>
          <w:rFonts w:hint="eastAsia" w:cs="宋体"/>
          <w:b w:val="0"/>
          <w:bCs w:val="0"/>
          <w:color w:val="000000"/>
          <w:sz w:val="21"/>
          <w:szCs w:val="21"/>
        </w:rPr>
        <w:t>个</w:t>
      </w:r>
      <w:r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  <w:t>二级指标</w:t>
      </w:r>
      <w:r>
        <w:rPr>
          <w:rFonts w:hint="eastAsia" w:cs="宋体"/>
          <w:b w:val="0"/>
          <w:bCs w:val="0"/>
          <w:color w:val="000000"/>
          <w:sz w:val="21"/>
          <w:szCs w:val="21"/>
          <w:lang w:eastAsia="zh-CN"/>
        </w:rPr>
        <w:t>，指标体系见表</w:t>
      </w:r>
      <w:r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  <w:t>1，指标体系的具体指标说明见附录A。</w:t>
      </w:r>
    </w:p>
    <w:p w14:paraId="53378D5C">
      <w:pPr>
        <w:jc w:val="center"/>
        <w:rPr>
          <w:rFonts w:hint="eastAsia" w:ascii="黑体" w:hAnsi="黑体" w:eastAsia="黑体" w:cs="黑体"/>
          <w:color w:val="000000"/>
          <w:sz w:val="20"/>
          <w:szCs w:val="21"/>
        </w:rPr>
      </w:pPr>
      <w:r>
        <w:rPr>
          <w:rFonts w:hint="eastAsia" w:ascii="黑体" w:hAnsi="黑体" w:eastAsia="黑体" w:cs="黑体"/>
          <w:color w:val="000000"/>
          <w:sz w:val="20"/>
          <w:szCs w:val="21"/>
        </w:rPr>
        <w:t xml:space="preserve">表1 </w:t>
      </w:r>
      <w:r>
        <w:rPr>
          <w:rFonts w:hint="eastAsia" w:ascii="黑体" w:hAnsi="黑体" w:eastAsia="黑体" w:cs="黑体"/>
          <w:color w:val="000000"/>
          <w:sz w:val="20"/>
          <w:szCs w:val="21"/>
          <w:lang w:val="en-US" w:eastAsia="zh-CN"/>
        </w:rPr>
        <w:t>物业服务企业环境、社会和治理（ESG）评价指标体系</w:t>
      </w:r>
    </w:p>
    <w:tbl>
      <w:tblPr>
        <w:tblStyle w:val="12"/>
        <w:tblW w:w="0" w:type="auto"/>
        <w:tblInd w:w="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044"/>
        <w:gridCol w:w="3412"/>
        <w:gridCol w:w="1660"/>
      </w:tblGrid>
      <w:tr w14:paraId="32E3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shd w:val="clear" w:color="auto" w:fill="D7D7D7" w:themeFill="background1" w:themeFillShade="D8"/>
            <w:vAlign w:val="top"/>
          </w:tcPr>
          <w:p w14:paraId="22231C3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维度</w:t>
            </w:r>
          </w:p>
        </w:tc>
        <w:tc>
          <w:tcPr>
            <w:tcW w:w="2044" w:type="dxa"/>
            <w:shd w:val="clear" w:color="auto" w:fill="D7D7D7" w:themeFill="background1" w:themeFillShade="D8"/>
          </w:tcPr>
          <w:p w14:paraId="7E21BBA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3412" w:type="dxa"/>
            <w:shd w:val="clear" w:color="auto" w:fill="D7D7D7" w:themeFill="background1" w:themeFillShade="D8"/>
          </w:tcPr>
          <w:p w14:paraId="53E7F55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1660" w:type="dxa"/>
            <w:shd w:val="clear" w:color="auto" w:fill="D7D7D7" w:themeFill="background1" w:themeFillShade="D8"/>
          </w:tcPr>
          <w:p w14:paraId="32AC7B8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权重</w:t>
            </w:r>
          </w:p>
        </w:tc>
      </w:tr>
      <w:tr w14:paraId="4414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restart"/>
            <w:vAlign w:val="center"/>
          </w:tcPr>
          <w:p w14:paraId="74EE50F8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环境</w:t>
            </w:r>
          </w:p>
        </w:tc>
        <w:tc>
          <w:tcPr>
            <w:tcW w:w="2044" w:type="dxa"/>
            <w:vMerge w:val="restart"/>
            <w:vAlign w:val="center"/>
          </w:tcPr>
          <w:p w14:paraId="4E2A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环境管理</w:t>
            </w:r>
          </w:p>
        </w:tc>
        <w:tc>
          <w:tcPr>
            <w:tcW w:w="3412" w:type="dxa"/>
            <w:vAlign w:val="center"/>
          </w:tcPr>
          <w:p w14:paraId="0E223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管理体系</w:t>
            </w:r>
          </w:p>
        </w:tc>
        <w:tc>
          <w:tcPr>
            <w:tcW w:w="1660" w:type="dxa"/>
            <w:vAlign w:val="center"/>
          </w:tcPr>
          <w:p w14:paraId="4B6F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1.5%</w:t>
            </w:r>
          </w:p>
        </w:tc>
      </w:tr>
      <w:tr w14:paraId="13BA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7C46EBF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5C5C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7287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绿色建筑</w:t>
            </w:r>
          </w:p>
        </w:tc>
        <w:tc>
          <w:tcPr>
            <w:tcW w:w="1660" w:type="dxa"/>
            <w:vAlign w:val="center"/>
          </w:tcPr>
          <w:p w14:paraId="1EA3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4%</w:t>
            </w:r>
          </w:p>
        </w:tc>
      </w:tr>
      <w:tr w14:paraId="21C8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7C99EE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3D7C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7953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绿色物业</w:t>
            </w:r>
          </w:p>
        </w:tc>
        <w:tc>
          <w:tcPr>
            <w:tcW w:w="1660" w:type="dxa"/>
            <w:vAlign w:val="center"/>
          </w:tcPr>
          <w:p w14:paraId="0CC0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2.5%</w:t>
            </w:r>
          </w:p>
        </w:tc>
      </w:tr>
      <w:tr w14:paraId="11F2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3922AF6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74ED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气候变化</w:t>
            </w:r>
          </w:p>
        </w:tc>
        <w:tc>
          <w:tcPr>
            <w:tcW w:w="3412" w:type="dxa"/>
            <w:vAlign w:val="center"/>
          </w:tcPr>
          <w:p w14:paraId="1C90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气候相关风险、机遇和影响管理</w:t>
            </w:r>
          </w:p>
        </w:tc>
        <w:tc>
          <w:tcPr>
            <w:tcW w:w="1660" w:type="dxa"/>
            <w:vAlign w:val="center"/>
          </w:tcPr>
          <w:p w14:paraId="53D1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2%</w:t>
            </w:r>
          </w:p>
        </w:tc>
      </w:tr>
      <w:tr w14:paraId="6748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4398C17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1A0D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52B8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温室气体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排放</w:t>
            </w:r>
          </w:p>
        </w:tc>
        <w:tc>
          <w:tcPr>
            <w:tcW w:w="1660" w:type="dxa"/>
            <w:vAlign w:val="center"/>
          </w:tcPr>
          <w:p w14:paraId="44CE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2A20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2" w:type="dxa"/>
            <w:vMerge w:val="continue"/>
          </w:tcPr>
          <w:p w14:paraId="6B7C9E4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4C38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2E7E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碳交易</w:t>
            </w:r>
          </w:p>
        </w:tc>
        <w:tc>
          <w:tcPr>
            <w:tcW w:w="1660" w:type="dxa"/>
            <w:vAlign w:val="center"/>
          </w:tcPr>
          <w:p w14:paraId="0A899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0.5%</w:t>
            </w:r>
          </w:p>
        </w:tc>
      </w:tr>
      <w:tr w14:paraId="0656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0C2EB44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7FA1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能源与资源</w:t>
            </w:r>
          </w:p>
        </w:tc>
        <w:tc>
          <w:tcPr>
            <w:tcW w:w="3412" w:type="dxa"/>
            <w:vAlign w:val="center"/>
          </w:tcPr>
          <w:p w14:paraId="573B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</w:t>
            </w:r>
          </w:p>
        </w:tc>
        <w:tc>
          <w:tcPr>
            <w:tcW w:w="1660" w:type="dxa"/>
            <w:vAlign w:val="center"/>
          </w:tcPr>
          <w:p w14:paraId="7B01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4%</w:t>
            </w:r>
          </w:p>
        </w:tc>
      </w:tr>
      <w:tr w14:paraId="26D9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0BF754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066D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3D4DD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水资源</w:t>
            </w:r>
          </w:p>
        </w:tc>
        <w:tc>
          <w:tcPr>
            <w:tcW w:w="1660" w:type="dxa"/>
            <w:vAlign w:val="center"/>
          </w:tcPr>
          <w:p w14:paraId="00BE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3.5%</w:t>
            </w:r>
          </w:p>
        </w:tc>
      </w:tr>
      <w:tr w14:paraId="5FF6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1B4920F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 w14:paraId="687E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生物多样性</w:t>
            </w:r>
          </w:p>
        </w:tc>
        <w:tc>
          <w:tcPr>
            <w:tcW w:w="3412" w:type="dxa"/>
            <w:vAlign w:val="center"/>
          </w:tcPr>
          <w:p w14:paraId="2B9B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生态系统维护</w:t>
            </w:r>
          </w:p>
        </w:tc>
        <w:tc>
          <w:tcPr>
            <w:tcW w:w="1660" w:type="dxa"/>
            <w:vAlign w:val="center"/>
          </w:tcPr>
          <w:p w14:paraId="4D42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1%</w:t>
            </w:r>
          </w:p>
        </w:tc>
      </w:tr>
      <w:tr w14:paraId="232A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31D24E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4CDF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垃圾与废水处理</w:t>
            </w:r>
          </w:p>
        </w:tc>
        <w:tc>
          <w:tcPr>
            <w:tcW w:w="3412" w:type="dxa"/>
            <w:vAlign w:val="center"/>
          </w:tcPr>
          <w:p w14:paraId="5EE6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垃圾处理</w:t>
            </w:r>
          </w:p>
        </w:tc>
        <w:tc>
          <w:tcPr>
            <w:tcW w:w="1660" w:type="dxa"/>
            <w:vAlign w:val="center"/>
          </w:tcPr>
          <w:p w14:paraId="2BC4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2.5%</w:t>
            </w:r>
          </w:p>
        </w:tc>
      </w:tr>
      <w:tr w14:paraId="6F4F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22F9491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1C60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44F74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废水处理</w:t>
            </w:r>
          </w:p>
        </w:tc>
        <w:tc>
          <w:tcPr>
            <w:tcW w:w="1660" w:type="dxa"/>
            <w:vAlign w:val="center"/>
          </w:tcPr>
          <w:p w14:paraId="29B8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1%</w:t>
            </w:r>
          </w:p>
        </w:tc>
      </w:tr>
      <w:tr w14:paraId="1565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restart"/>
            <w:vAlign w:val="center"/>
          </w:tcPr>
          <w:p w14:paraId="7D5F6A9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社会</w:t>
            </w:r>
          </w:p>
        </w:tc>
        <w:tc>
          <w:tcPr>
            <w:tcW w:w="2044" w:type="dxa"/>
            <w:vMerge w:val="restart"/>
            <w:vAlign w:val="center"/>
          </w:tcPr>
          <w:p w14:paraId="4475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员工责任</w:t>
            </w:r>
          </w:p>
        </w:tc>
        <w:tc>
          <w:tcPr>
            <w:tcW w:w="3412" w:type="dxa"/>
            <w:vAlign w:val="center"/>
          </w:tcPr>
          <w:p w14:paraId="24EC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平等雇佣与多元化</w:t>
            </w:r>
          </w:p>
        </w:tc>
        <w:tc>
          <w:tcPr>
            <w:tcW w:w="1660" w:type="dxa"/>
            <w:vAlign w:val="center"/>
          </w:tcPr>
          <w:p w14:paraId="6276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2.5%</w:t>
            </w:r>
          </w:p>
        </w:tc>
      </w:tr>
      <w:tr w14:paraId="4C47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08F027D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4D79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03E5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职业健康安全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</w:t>
            </w:r>
          </w:p>
        </w:tc>
        <w:tc>
          <w:tcPr>
            <w:tcW w:w="1660" w:type="dxa"/>
            <w:vAlign w:val="center"/>
          </w:tcPr>
          <w:p w14:paraId="6D04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5.5%</w:t>
            </w:r>
          </w:p>
        </w:tc>
      </w:tr>
      <w:tr w14:paraId="08F3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3AAB263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27A7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4433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权益与福利</w:t>
            </w:r>
          </w:p>
        </w:tc>
        <w:tc>
          <w:tcPr>
            <w:tcW w:w="1660" w:type="dxa"/>
            <w:vAlign w:val="center"/>
          </w:tcPr>
          <w:p w14:paraId="4A20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2%</w:t>
            </w:r>
          </w:p>
        </w:tc>
      </w:tr>
      <w:tr w14:paraId="6D55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722F8DD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03285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2A5B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技能培训与职业发展</w:t>
            </w:r>
          </w:p>
        </w:tc>
        <w:tc>
          <w:tcPr>
            <w:tcW w:w="1660" w:type="dxa"/>
            <w:vAlign w:val="center"/>
          </w:tcPr>
          <w:p w14:paraId="4A3C0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2.5%</w:t>
            </w:r>
          </w:p>
        </w:tc>
      </w:tr>
      <w:tr w14:paraId="7856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3DD680B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2FB7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服务与创新</w:t>
            </w:r>
          </w:p>
        </w:tc>
        <w:tc>
          <w:tcPr>
            <w:tcW w:w="3412" w:type="dxa"/>
            <w:vAlign w:val="center"/>
          </w:tcPr>
          <w:p w14:paraId="3947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智慧物业</w:t>
            </w:r>
          </w:p>
        </w:tc>
        <w:tc>
          <w:tcPr>
            <w:tcW w:w="1660" w:type="dxa"/>
            <w:vAlign w:val="center"/>
          </w:tcPr>
          <w:p w14:paraId="2F43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2.5%</w:t>
            </w:r>
          </w:p>
        </w:tc>
      </w:tr>
      <w:tr w14:paraId="68B2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56760CC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5AF8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5F94D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信息安全与隐私</w:t>
            </w:r>
          </w:p>
        </w:tc>
        <w:tc>
          <w:tcPr>
            <w:tcW w:w="1660" w:type="dxa"/>
            <w:vAlign w:val="center"/>
          </w:tcPr>
          <w:p w14:paraId="0985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2%</w:t>
            </w:r>
          </w:p>
        </w:tc>
      </w:tr>
      <w:tr w14:paraId="653B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4095F40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77C2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4B273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创新驱动</w:t>
            </w:r>
          </w:p>
        </w:tc>
        <w:tc>
          <w:tcPr>
            <w:tcW w:w="1660" w:type="dxa"/>
            <w:vAlign w:val="center"/>
          </w:tcPr>
          <w:p w14:paraId="3687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2%</w:t>
            </w:r>
          </w:p>
        </w:tc>
      </w:tr>
      <w:tr w14:paraId="3641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483F296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6638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763D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公共安全</w:t>
            </w:r>
          </w:p>
        </w:tc>
        <w:tc>
          <w:tcPr>
            <w:tcW w:w="1660" w:type="dxa"/>
            <w:vAlign w:val="center"/>
          </w:tcPr>
          <w:p w14:paraId="17309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1%</w:t>
            </w:r>
          </w:p>
        </w:tc>
      </w:tr>
      <w:tr w14:paraId="5BCD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21EB3A7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0920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2C41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增值服务与服务创新</w:t>
            </w:r>
          </w:p>
        </w:tc>
        <w:tc>
          <w:tcPr>
            <w:tcW w:w="1660" w:type="dxa"/>
            <w:vAlign w:val="center"/>
          </w:tcPr>
          <w:p w14:paraId="3EA4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142C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79CF51D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07F5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67E4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服务质量</w:t>
            </w:r>
          </w:p>
        </w:tc>
        <w:tc>
          <w:tcPr>
            <w:tcW w:w="1660" w:type="dxa"/>
            <w:vAlign w:val="center"/>
          </w:tcPr>
          <w:p w14:paraId="4C4A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2E27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5E96332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08B6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供应链管理</w:t>
            </w:r>
          </w:p>
        </w:tc>
        <w:tc>
          <w:tcPr>
            <w:tcW w:w="3412" w:type="dxa"/>
            <w:vAlign w:val="center"/>
          </w:tcPr>
          <w:p w14:paraId="3F19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供应商管理</w:t>
            </w:r>
          </w:p>
        </w:tc>
        <w:tc>
          <w:tcPr>
            <w:tcW w:w="1660" w:type="dxa"/>
            <w:vAlign w:val="center"/>
          </w:tcPr>
          <w:p w14:paraId="40E3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421F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102BA0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6C530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6ED9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绿色采购</w:t>
            </w:r>
          </w:p>
        </w:tc>
        <w:tc>
          <w:tcPr>
            <w:tcW w:w="1660" w:type="dxa"/>
            <w:vAlign w:val="center"/>
          </w:tcPr>
          <w:p w14:paraId="3509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1%</w:t>
            </w:r>
          </w:p>
        </w:tc>
      </w:tr>
      <w:tr w14:paraId="0C9C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11AF387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7DF0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1ACD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阳光采购</w:t>
            </w:r>
          </w:p>
        </w:tc>
        <w:tc>
          <w:tcPr>
            <w:tcW w:w="1660" w:type="dxa"/>
            <w:vAlign w:val="center"/>
          </w:tcPr>
          <w:p w14:paraId="650B1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7C81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50899A0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26AF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社会贡献</w:t>
            </w:r>
          </w:p>
        </w:tc>
        <w:tc>
          <w:tcPr>
            <w:tcW w:w="3412" w:type="dxa"/>
            <w:vAlign w:val="center"/>
          </w:tcPr>
          <w:p w14:paraId="2162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公益投资与捐赠</w:t>
            </w:r>
          </w:p>
        </w:tc>
        <w:tc>
          <w:tcPr>
            <w:tcW w:w="1660" w:type="dxa"/>
            <w:vAlign w:val="center"/>
          </w:tcPr>
          <w:p w14:paraId="46CB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4F67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71AE5F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1F5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4C5B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社区共建</w:t>
            </w:r>
          </w:p>
        </w:tc>
        <w:tc>
          <w:tcPr>
            <w:tcW w:w="1660" w:type="dxa"/>
            <w:vAlign w:val="center"/>
          </w:tcPr>
          <w:p w14:paraId="0FA4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60C3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restart"/>
            <w:vAlign w:val="center"/>
          </w:tcPr>
          <w:p w14:paraId="5FC9982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治理</w:t>
            </w:r>
          </w:p>
        </w:tc>
        <w:tc>
          <w:tcPr>
            <w:tcW w:w="2044" w:type="dxa"/>
            <w:vMerge w:val="restart"/>
            <w:vAlign w:val="center"/>
          </w:tcPr>
          <w:p w14:paraId="1DDA8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治理机制</w:t>
            </w:r>
          </w:p>
        </w:tc>
        <w:tc>
          <w:tcPr>
            <w:tcW w:w="3412" w:type="dxa"/>
            <w:vAlign w:val="center"/>
          </w:tcPr>
          <w:p w14:paraId="2D29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党的建设</w:t>
            </w:r>
          </w:p>
        </w:tc>
        <w:tc>
          <w:tcPr>
            <w:tcW w:w="1660" w:type="dxa"/>
            <w:vAlign w:val="center"/>
          </w:tcPr>
          <w:p w14:paraId="6A73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6.5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280E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58C7B12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1F7EF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311C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治理架构</w:t>
            </w:r>
          </w:p>
        </w:tc>
        <w:tc>
          <w:tcPr>
            <w:tcW w:w="1660" w:type="dxa"/>
            <w:vAlign w:val="center"/>
          </w:tcPr>
          <w:p w14:paraId="585A6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1591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0B1D8E3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5F3E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130B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合规管理</w:t>
            </w:r>
          </w:p>
        </w:tc>
        <w:tc>
          <w:tcPr>
            <w:tcW w:w="1660" w:type="dxa"/>
            <w:vAlign w:val="center"/>
          </w:tcPr>
          <w:p w14:paraId="4B06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58B9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6751156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6021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70B8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风险管理</w:t>
            </w:r>
          </w:p>
        </w:tc>
        <w:tc>
          <w:tcPr>
            <w:tcW w:w="1660" w:type="dxa"/>
            <w:vAlign w:val="center"/>
          </w:tcPr>
          <w:p w14:paraId="2ACB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7DD7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32AB99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34D5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1F4F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高管薪酬</w:t>
            </w:r>
          </w:p>
        </w:tc>
        <w:tc>
          <w:tcPr>
            <w:tcW w:w="1660" w:type="dxa"/>
            <w:vAlign w:val="center"/>
          </w:tcPr>
          <w:p w14:paraId="3677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7165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2A592D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6378C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50DB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ESG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</w:t>
            </w:r>
          </w:p>
        </w:tc>
        <w:tc>
          <w:tcPr>
            <w:tcW w:w="1660" w:type="dxa"/>
            <w:vAlign w:val="center"/>
          </w:tcPr>
          <w:p w14:paraId="528C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6F83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01581F3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0D1A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商业道德</w:t>
            </w:r>
          </w:p>
        </w:tc>
        <w:tc>
          <w:tcPr>
            <w:tcW w:w="3412" w:type="dxa"/>
            <w:vAlign w:val="center"/>
          </w:tcPr>
          <w:p w14:paraId="07C5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反腐败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与反商业贿赂</w:t>
            </w:r>
          </w:p>
        </w:tc>
        <w:tc>
          <w:tcPr>
            <w:tcW w:w="1660" w:type="dxa"/>
            <w:vAlign w:val="center"/>
          </w:tcPr>
          <w:p w14:paraId="2A03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560C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</w:tcPr>
          <w:p w14:paraId="179E133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2A13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4670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公平竞争</w:t>
            </w:r>
          </w:p>
        </w:tc>
        <w:tc>
          <w:tcPr>
            <w:tcW w:w="1660" w:type="dxa"/>
            <w:vAlign w:val="center"/>
          </w:tcPr>
          <w:p w14:paraId="121C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</w:tr>
    </w:tbl>
    <w:p w14:paraId="0599A107">
      <w:pPr>
        <w:pStyle w:val="4"/>
        <w:bidi w:val="0"/>
        <w:spacing w:line="240" w:lineRule="auto"/>
        <w:ind w:firstLine="0" w:firstLineChars="0"/>
        <w:outlineLvl w:val="1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26" w:name="_Toc5170"/>
      <w:bookmarkStart w:id="127" w:name="_Toc13487"/>
      <w:bookmarkStart w:id="128" w:name="_Toc10375"/>
      <w:bookmarkStart w:id="129" w:name="_Toc632243236"/>
      <w:r>
        <w:rPr>
          <w:rFonts w:hint="eastAsia"/>
          <w:b w:val="0"/>
          <w:bCs w:val="0"/>
          <w:sz w:val="21"/>
          <w:szCs w:val="21"/>
          <w:lang w:val="en-US" w:eastAsia="zh-CN"/>
        </w:rPr>
        <w:t>5.2 否决项指标</w:t>
      </w:r>
      <w:bookmarkEnd w:id="126"/>
      <w:bookmarkEnd w:id="127"/>
      <w:bookmarkEnd w:id="128"/>
      <w:bookmarkEnd w:id="129"/>
    </w:p>
    <w:p w14:paraId="4D3AB441">
      <w:pPr>
        <w:ind w:left="0" w:leftChars="0"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物业服务企业存在表2中的任一项否决项指标，应判定该企业ESG表现不合格。</w:t>
      </w:r>
    </w:p>
    <w:p w14:paraId="21C454AD">
      <w:pPr>
        <w:ind w:left="0" w:leftChars="0" w:firstLine="0" w:firstLineChars="0"/>
        <w:jc w:val="center"/>
        <w:rPr>
          <w:rFonts w:hint="default" w:eastAsia="黑体"/>
          <w:sz w:val="21"/>
          <w:szCs w:val="21"/>
          <w:lang w:val="en-US" w:eastAsia="zh-CN"/>
        </w:rPr>
      </w:pPr>
      <w:r>
        <w:rPr>
          <w:rFonts w:hint="eastAsia" w:eastAsia="黑体"/>
          <w:sz w:val="21"/>
          <w:szCs w:val="21"/>
          <w:lang w:val="en-US" w:eastAsia="zh-CN"/>
        </w:rPr>
        <w:t>表2 物业服务企业环境、社会和治理（ESG）评价否决项指标</w:t>
      </w:r>
    </w:p>
    <w:tbl>
      <w:tblPr>
        <w:tblStyle w:val="12"/>
        <w:tblW w:w="0" w:type="auto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6224"/>
      </w:tblGrid>
      <w:tr w14:paraId="2E22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shd w:val="clear" w:color="auto" w:fill="D7D7D7" w:themeFill="background1" w:themeFillShade="D8"/>
            <w:vAlign w:val="top"/>
          </w:tcPr>
          <w:p w14:paraId="509FCEB8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核心议题</w:t>
            </w:r>
          </w:p>
        </w:tc>
        <w:tc>
          <w:tcPr>
            <w:tcW w:w="6224" w:type="dxa"/>
            <w:shd w:val="clear" w:color="auto" w:fill="D7D7D7" w:themeFill="background1" w:themeFillShade="D8"/>
            <w:vAlign w:val="top"/>
          </w:tcPr>
          <w:p w14:paraId="0442AE7D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关键指标</w:t>
            </w:r>
          </w:p>
        </w:tc>
      </w:tr>
      <w:tr w14:paraId="0781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vAlign w:val="center"/>
          </w:tcPr>
          <w:p w14:paraId="796885A9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环境</w:t>
            </w:r>
          </w:p>
        </w:tc>
        <w:tc>
          <w:tcPr>
            <w:tcW w:w="6224" w:type="dxa"/>
            <w:vAlign w:val="top"/>
          </w:tcPr>
          <w:p w14:paraId="2D88258C"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近3年内因环境保护工作不力被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处罚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的</w:t>
            </w:r>
          </w:p>
        </w:tc>
      </w:tr>
      <w:tr w14:paraId="20FE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vMerge w:val="restart"/>
            <w:vAlign w:val="center"/>
          </w:tcPr>
          <w:p w14:paraId="48C4CD59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公平运行</w:t>
            </w:r>
          </w:p>
        </w:tc>
        <w:tc>
          <w:tcPr>
            <w:tcW w:w="6224" w:type="dxa"/>
            <w:vAlign w:val="top"/>
          </w:tcPr>
          <w:p w14:paraId="10A59B56"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近3年内因不正当竞争行为、垄断行为被处罚的</w:t>
            </w:r>
          </w:p>
        </w:tc>
      </w:tr>
      <w:tr w14:paraId="4337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vMerge w:val="continue"/>
            <w:vAlign w:val="center"/>
          </w:tcPr>
          <w:p w14:paraId="5AF6C6B6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24" w:type="dxa"/>
            <w:vAlign w:val="top"/>
          </w:tcPr>
          <w:p w14:paraId="18E5A584"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近3年内有侵犯知识产权行为的</w:t>
            </w:r>
          </w:p>
        </w:tc>
      </w:tr>
      <w:tr w14:paraId="1445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vMerge w:val="restart"/>
            <w:vAlign w:val="center"/>
          </w:tcPr>
          <w:p w14:paraId="555BECC0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员工</w:t>
            </w:r>
          </w:p>
        </w:tc>
        <w:tc>
          <w:tcPr>
            <w:tcW w:w="6224" w:type="dxa"/>
            <w:vAlign w:val="top"/>
          </w:tcPr>
          <w:p w14:paraId="0429966A"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近3年内因劳动者保障问题被处罚的</w:t>
            </w:r>
          </w:p>
        </w:tc>
      </w:tr>
      <w:tr w14:paraId="20AC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vMerge w:val="continue"/>
            <w:vAlign w:val="center"/>
          </w:tcPr>
          <w:p w14:paraId="65E635BF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24" w:type="dxa"/>
            <w:vAlign w:val="top"/>
          </w:tcPr>
          <w:p w14:paraId="5427C112"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近3年内发生较大及以上安全生产事故的</w:t>
            </w:r>
          </w:p>
        </w:tc>
      </w:tr>
      <w:tr w14:paraId="74E2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vAlign w:val="center"/>
          </w:tcPr>
          <w:p w14:paraId="627278AC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产品与客户</w:t>
            </w:r>
          </w:p>
        </w:tc>
        <w:tc>
          <w:tcPr>
            <w:tcW w:w="6224" w:type="dxa"/>
            <w:vAlign w:val="top"/>
          </w:tcPr>
          <w:p w14:paraId="1CDA731C"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近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因产品或服务品质出现重大事故的</w:t>
            </w:r>
          </w:p>
        </w:tc>
      </w:tr>
      <w:tr w14:paraId="656F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vMerge w:val="restart"/>
            <w:vAlign w:val="center"/>
          </w:tcPr>
          <w:p w14:paraId="53309DB7">
            <w:pPr>
              <w:spacing w:line="240" w:lineRule="auto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合规运营</w:t>
            </w:r>
          </w:p>
        </w:tc>
        <w:tc>
          <w:tcPr>
            <w:tcW w:w="6224" w:type="dxa"/>
            <w:vAlign w:val="top"/>
          </w:tcPr>
          <w:p w14:paraId="0F20BDCE"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近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年内发生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严重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腐败事件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的</w:t>
            </w:r>
          </w:p>
        </w:tc>
      </w:tr>
      <w:tr w14:paraId="30C7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371" w:type="dxa"/>
            <w:vMerge w:val="continue"/>
            <w:vAlign w:val="top"/>
          </w:tcPr>
          <w:p w14:paraId="376967A4">
            <w:pPr>
              <w:spacing w:line="24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24" w:type="dxa"/>
            <w:vAlign w:val="top"/>
          </w:tcPr>
          <w:p w14:paraId="02125062"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近3年内发生企业或实际控制人、管理者失信行为的</w:t>
            </w:r>
          </w:p>
        </w:tc>
      </w:tr>
      <w:tr w14:paraId="2EB8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vMerge w:val="continue"/>
            <w:vAlign w:val="top"/>
          </w:tcPr>
          <w:p w14:paraId="6711DF3F">
            <w:pPr>
              <w:spacing w:line="24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24" w:type="dxa"/>
            <w:vAlign w:val="top"/>
          </w:tcPr>
          <w:p w14:paraId="39A56787"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年报外部审计结论为否定意见或无法表示意见的</w:t>
            </w:r>
          </w:p>
        </w:tc>
      </w:tr>
    </w:tbl>
    <w:p w14:paraId="3F1DA9A1">
      <w:pPr>
        <w:pStyle w:val="4"/>
        <w:bidi w:val="0"/>
        <w:ind w:firstLine="0" w:firstLineChars="0"/>
        <w:outlineLvl w:val="1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30" w:name="_Toc21008"/>
      <w:bookmarkStart w:id="131" w:name="_Toc26344"/>
      <w:bookmarkStart w:id="132" w:name="_Toc362982096"/>
      <w:bookmarkStart w:id="133" w:name="_Toc16345"/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5.3 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加分项指标</w:t>
      </w:r>
      <w:bookmarkEnd w:id="130"/>
      <w:bookmarkEnd w:id="131"/>
      <w:bookmarkEnd w:id="132"/>
      <w:bookmarkEnd w:id="133"/>
    </w:p>
    <w:p w14:paraId="43EC3D3F">
      <w:pPr>
        <w:ind w:left="0" w:leftChars="0"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物业服务企业存在表3中的任一项加分项指标，应给予一定加分。每项指标加分不超过1分。</w:t>
      </w:r>
    </w:p>
    <w:p w14:paraId="481C4006">
      <w:pPr>
        <w:ind w:left="0" w:leftChars="0" w:firstLine="0" w:firstLineChars="0"/>
        <w:jc w:val="center"/>
        <w:rPr>
          <w:rFonts w:hint="eastAsia" w:eastAsia="黑体"/>
          <w:sz w:val="21"/>
          <w:szCs w:val="21"/>
          <w:lang w:val="en-US" w:eastAsia="zh-CN"/>
        </w:rPr>
      </w:pPr>
      <w:r>
        <w:rPr>
          <w:rFonts w:hint="eastAsia" w:eastAsia="黑体"/>
          <w:sz w:val="21"/>
          <w:szCs w:val="21"/>
          <w:lang w:val="en-US" w:eastAsia="zh-CN"/>
        </w:rPr>
        <w:t>表3 物业服务企业环境、社会和治理（ESG）评价加分项指标</w:t>
      </w:r>
    </w:p>
    <w:tbl>
      <w:tblPr>
        <w:tblStyle w:val="12"/>
        <w:tblW w:w="0" w:type="auto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6271"/>
      </w:tblGrid>
      <w:tr w14:paraId="6C71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shd w:val="clear" w:color="auto" w:fill="D7D7D7" w:themeFill="background1" w:themeFillShade="D8"/>
            <w:vAlign w:val="top"/>
          </w:tcPr>
          <w:p w14:paraId="2FD5CD7C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核心议题</w:t>
            </w:r>
          </w:p>
        </w:tc>
        <w:tc>
          <w:tcPr>
            <w:tcW w:w="6271" w:type="dxa"/>
            <w:shd w:val="clear" w:color="auto" w:fill="D7D7D7" w:themeFill="background1" w:themeFillShade="D8"/>
            <w:vAlign w:val="top"/>
          </w:tcPr>
          <w:p w14:paraId="798FF6BB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关键指标</w:t>
            </w:r>
          </w:p>
        </w:tc>
      </w:tr>
      <w:tr w14:paraId="660B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1" w:type="dxa"/>
            <w:vMerge w:val="restart"/>
            <w:vAlign w:val="center"/>
          </w:tcPr>
          <w:p w14:paraId="3153AA25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环境</w:t>
            </w:r>
          </w:p>
        </w:tc>
        <w:tc>
          <w:tcPr>
            <w:tcW w:w="6271" w:type="dxa"/>
            <w:vAlign w:val="top"/>
          </w:tcPr>
          <w:p w14:paraId="43547ECC">
            <w:pPr>
              <w:spacing w:line="240" w:lineRule="auto"/>
              <w:ind w:left="0" w:leftChars="0" w:firstLine="0" w:firstLineChars="0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获得绿色建筑认证的项目占比提升</w:t>
            </w:r>
          </w:p>
        </w:tc>
      </w:tr>
      <w:tr w14:paraId="5972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1" w:type="dxa"/>
            <w:vMerge w:val="continue"/>
            <w:vAlign w:val="top"/>
          </w:tcPr>
          <w:p w14:paraId="150508B1">
            <w:pPr>
              <w:spacing w:line="240" w:lineRule="auto"/>
              <w:ind w:firstLine="420" w:firstLineChars="200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71" w:type="dxa"/>
            <w:vAlign w:val="top"/>
          </w:tcPr>
          <w:p w14:paraId="1CF2B788">
            <w:pPr>
              <w:spacing w:line="240" w:lineRule="auto"/>
              <w:ind w:left="0" w:leftChars="0" w:firstLine="0" w:firstLineChars="0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提升气象灾害应对能力</w:t>
            </w:r>
          </w:p>
        </w:tc>
      </w:tr>
      <w:tr w14:paraId="49D2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1" w:type="dxa"/>
            <w:vMerge w:val="restart"/>
            <w:vAlign w:val="center"/>
          </w:tcPr>
          <w:p w14:paraId="7D9D38D5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社会</w:t>
            </w:r>
          </w:p>
        </w:tc>
        <w:tc>
          <w:tcPr>
            <w:tcW w:w="6271" w:type="dxa"/>
            <w:vAlign w:val="top"/>
          </w:tcPr>
          <w:p w14:paraId="62D29DD2">
            <w:pPr>
              <w:spacing w:line="240" w:lineRule="auto"/>
              <w:ind w:left="0" w:leftChars="0" w:firstLine="0" w:firstLineChars="0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老年/少儿友好设施应用推广</w:t>
            </w:r>
          </w:p>
        </w:tc>
      </w:tr>
      <w:tr w14:paraId="6F76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vMerge w:val="continue"/>
            <w:vAlign w:val="top"/>
          </w:tcPr>
          <w:p w14:paraId="6B444556">
            <w:pPr>
              <w:spacing w:line="240" w:lineRule="auto"/>
              <w:ind w:firstLine="420" w:firstLineChars="200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71" w:type="dxa"/>
            <w:vAlign w:val="top"/>
          </w:tcPr>
          <w:p w14:paraId="2EEB2DC4">
            <w:pPr>
              <w:spacing w:line="240" w:lineRule="auto"/>
              <w:ind w:left="0" w:leftChars="0" w:firstLine="0" w:firstLineChars="0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党建引领物业管理融入基层治理</w:t>
            </w:r>
          </w:p>
        </w:tc>
      </w:tr>
      <w:tr w14:paraId="0F74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vMerge w:val="continue"/>
            <w:vAlign w:val="top"/>
          </w:tcPr>
          <w:p w14:paraId="13B00DCF">
            <w:pPr>
              <w:spacing w:line="240" w:lineRule="auto"/>
              <w:ind w:firstLine="420" w:firstLineChars="200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71" w:type="dxa"/>
            <w:vAlign w:val="top"/>
          </w:tcPr>
          <w:p w14:paraId="219476FF">
            <w:pPr>
              <w:spacing w:line="240" w:lineRule="auto"/>
              <w:ind w:left="0" w:leftChars="0" w:firstLine="0" w:firstLineChars="0"/>
              <w:rPr>
                <w:rFonts w:hint="eastAsia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特殊业态服务能力（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shd w:val="clear"/>
              </w:rPr>
              <w:t>在机场、交通枢纽等大型公建项目服务中形成标杆案例并获得客户认可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）</w:t>
            </w:r>
          </w:p>
        </w:tc>
      </w:tr>
    </w:tbl>
    <w:p w14:paraId="231DFA2F">
      <w:pPr>
        <w:pStyle w:val="2"/>
        <w:bidi w:val="0"/>
        <w:ind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34" w:name="_Toc10042"/>
      <w:bookmarkStart w:id="135" w:name="_Toc1786529992"/>
      <w:bookmarkStart w:id="136" w:name="_Toc11806"/>
      <w:bookmarkStart w:id="137" w:name="_Toc7784"/>
      <w:bookmarkStart w:id="138" w:name="_Toc16629"/>
      <w:bookmarkStart w:id="139" w:name="_Toc32612"/>
      <w:bookmarkStart w:id="140" w:name="_Toc2009"/>
      <w:r>
        <w:rPr>
          <w:rFonts w:hint="eastAsia"/>
          <w:b w:val="0"/>
          <w:bCs w:val="0"/>
          <w:sz w:val="21"/>
          <w:szCs w:val="21"/>
          <w:lang w:val="en-US" w:eastAsia="zh-CN"/>
        </w:rPr>
        <w:t>6 评价组织</w:t>
      </w:r>
      <w:bookmarkEnd w:id="134"/>
      <w:bookmarkEnd w:id="135"/>
      <w:bookmarkEnd w:id="136"/>
      <w:bookmarkEnd w:id="137"/>
    </w:p>
    <w:p w14:paraId="7868F1F3">
      <w:pPr>
        <w:pStyle w:val="4"/>
        <w:bidi w:val="0"/>
        <w:spacing w:line="240" w:lineRule="auto"/>
        <w:ind w:firstLine="0" w:firstLineChars="0"/>
        <w:outlineLvl w:val="1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41" w:name="_Toc93223190"/>
      <w:bookmarkStart w:id="142" w:name="_Toc4369"/>
      <w:bookmarkStart w:id="143" w:name="_Toc26634"/>
      <w:bookmarkStart w:id="144" w:name="_Toc29676"/>
      <w:r>
        <w:rPr>
          <w:rFonts w:hint="eastAsia"/>
          <w:b w:val="0"/>
          <w:bCs w:val="0"/>
          <w:sz w:val="21"/>
          <w:szCs w:val="21"/>
          <w:lang w:val="en-US" w:eastAsia="zh-CN"/>
        </w:rPr>
        <w:t>6.1 评价组织</w:t>
      </w:r>
      <w:bookmarkEnd w:id="141"/>
      <w:r>
        <w:rPr>
          <w:rFonts w:hint="eastAsia"/>
          <w:b w:val="0"/>
          <w:bCs w:val="0"/>
          <w:sz w:val="21"/>
          <w:szCs w:val="21"/>
          <w:lang w:val="en-US" w:eastAsia="zh-CN"/>
        </w:rPr>
        <w:t>要求</w:t>
      </w:r>
      <w:bookmarkEnd w:id="142"/>
      <w:bookmarkEnd w:id="143"/>
      <w:bookmarkEnd w:id="144"/>
    </w:p>
    <w:p w14:paraId="2B285FB9">
      <w:pPr>
        <w:autoSpaceDE/>
        <w:autoSpaceDN/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根据本文件开展ESG评价工作的组织应满足下列要求：</w:t>
      </w:r>
    </w:p>
    <w:p w14:paraId="217316C0">
      <w:pPr>
        <w:autoSpaceDE/>
        <w:autoSpaceDN/>
        <w:spacing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——具备开展评价工作的专职人员；</w:t>
      </w:r>
    </w:p>
    <w:p w14:paraId="14336FB1">
      <w:pPr>
        <w:autoSpaceDE/>
        <w:autoSpaceDN/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——设立由至少三名成员组成的评价小组；</w:t>
      </w:r>
    </w:p>
    <w:p w14:paraId="07E0ED04">
      <w:pPr>
        <w:autoSpaceDE/>
        <w:autoSpaceDN/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——明确评价小组成员的主要职责与分工权限；</w:t>
      </w:r>
    </w:p>
    <w:p w14:paraId="074CE743">
      <w:pPr>
        <w:autoSpaceDE/>
        <w:autoSpaceDN/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——评级组织应建立评价小组利益冲突避免机制；</w:t>
      </w:r>
    </w:p>
    <w:p w14:paraId="595C4ADA">
      <w:pPr>
        <w:autoSpaceDE/>
        <w:autoSpaceDN/>
        <w:spacing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——应对评价资料进行存档，并承诺保护被评价企业商业秘密。</w:t>
      </w:r>
    </w:p>
    <w:p w14:paraId="5F29712A">
      <w:pPr>
        <w:pStyle w:val="4"/>
        <w:bidi w:val="0"/>
        <w:spacing w:line="240" w:lineRule="auto"/>
        <w:ind w:firstLine="0" w:firstLineChars="0"/>
        <w:outlineLvl w:val="1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45" w:name="_Toc17286"/>
      <w:bookmarkStart w:id="146" w:name="_Toc24308"/>
      <w:bookmarkStart w:id="147" w:name="_Toc1286575667"/>
      <w:bookmarkStart w:id="148" w:name="_Toc2002"/>
      <w:r>
        <w:rPr>
          <w:rFonts w:hint="eastAsia"/>
          <w:b w:val="0"/>
          <w:bCs w:val="0"/>
          <w:sz w:val="21"/>
          <w:szCs w:val="21"/>
          <w:lang w:val="en-US" w:eastAsia="zh-CN"/>
        </w:rPr>
        <w:t>6.2 评价人员的专业和素质要求</w:t>
      </w:r>
      <w:bookmarkEnd w:id="145"/>
      <w:bookmarkEnd w:id="146"/>
      <w:bookmarkEnd w:id="147"/>
      <w:bookmarkEnd w:id="148"/>
    </w:p>
    <w:p w14:paraId="5F069E31">
      <w:pPr>
        <w:autoSpaceDE/>
        <w:autoSpaceDN/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根据本文件开展ESG评价工作的人员应满足下列要求：</w:t>
      </w:r>
    </w:p>
    <w:p w14:paraId="1AE9C941">
      <w:pPr>
        <w:autoSpaceDE/>
        <w:autoSpaceDN/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——具有ESG研究、评价、咨询等三年以上工作经验；</w:t>
      </w:r>
    </w:p>
    <w:p w14:paraId="683D658C">
      <w:pPr>
        <w:autoSpaceDE/>
        <w:autoSpaceDN/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——熟悉国内外ESG政策、法律法规，ESG信息披露政策与法律法规；</w:t>
      </w:r>
    </w:p>
    <w:p w14:paraId="0321BED1">
      <w:pPr>
        <w:autoSpaceDE/>
        <w:autoSpaceDN/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——具有识别、分析企业ESG主要议题的能力；</w:t>
      </w:r>
    </w:p>
    <w:p w14:paraId="2F9F609D">
      <w:pPr>
        <w:autoSpaceDE/>
        <w:autoSpaceDN/>
        <w:spacing w:line="240" w:lineRule="auto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</w:t>
      </w:r>
      <w:r>
        <w:rPr>
          <w:rFonts w:hint="eastAsia"/>
          <w:sz w:val="21"/>
          <w:szCs w:val="21"/>
          <w:highlight w:val="none"/>
        </w:rPr>
        <w:t>评价</w:t>
      </w:r>
      <w:r>
        <w:rPr>
          <w:rFonts w:hint="eastAsia"/>
          <w:sz w:val="21"/>
          <w:szCs w:val="21"/>
          <w:highlight w:val="none"/>
          <w:lang w:val="en-US" w:eastAsia="zh-CN"/>
        </w:rPr>
        <w:t>人员需</w:t>
      </w:r>
      <w:r>
        <w:rPr>
          <w:rFonts w:hint="eastAsia"/>
          <w:sz w:val="21"/>
          <w:szCs w:val="21"/>
          <w:highlight w:val="none"/>
        </w:rPr>
        <w:t>具备物业管理行业三年以上工作经验或研究</w:t>
      </w:r>
      <w:r>
        <w:rPr>
          <w:rFonts w:hint="eastAsia"/>
          <w:sz w:val="21"/>
          <w:szCs w:val="21"/>
          <w:highlight w:val="none"/>
          <w:lang w:val="en-US" w:eastAsia="zh-CN"/>
        </w:rPr>
        <w:t>经验</w:t>
      </w:r>
      <w:r>
        <w:rPr>
          <w:rFonts w:hint="eastAsia"/>
          <w:sz w:val="21"/>
          <w:szCs w:val="21"/>
          <w:highlight w:val="none"/>
          <w:lang w:eastAsia="zh-CN"/>
        </w:rPr>
        <w:t>；</w:t>
      </w:r>
    </w:p>
    <w:p w14:paraId="773426D8">
      <w:pPr>
        <w:autoSpaceDE/>
        <w:autoSpaceDN/>
        <w:spacing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——了解物业管理行业特点，恪守职业道德。</w:t>
      </w:r>
    </w:p>
    <w:p w14:paraId="7ED960C1">
      <w:pPr>
        <w:pStyle w:val="2"/>
        <w:bidi w:val="0"/>
        <w:ind w:firstLine="0" w:firstLineChars="0"/>
        <w:rPr>
          <w:rFonts w:hint="default"/>
          <w:b w:val="0"/>
          <w:bCs w:val="0"/>
          <w:sz w:val="21"/>
          <w:szCs w:val="21"/>
          <w:lang w:val="en-US" w:eastAsia="zh-CN"/>
        </w:rPr>
      </w:pPr>
      <w:bookmarkStart w:id="149" w:name="_Toc464393626"/>
      <w:bookmarkStart w:id="150" w:name="_Toc22455"/>
      <w:bookmarkStart w:id="151" w:name="_Toc13205"/>
      <w:bookmarkStart w:id="152" w:name="_Toc30192"/>
      <w:r>
        <w:rPr>
          <w:rFonts w:hint="eastAsia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评价流程</w:t>
      </w:r>
      <w:bookmarkEnd w:id="149"/>
      <w:bookmarkEnd w:id="150"/>
      <w:bookmarkEnd w:id="151"/>
      <w:bookmarkEnd w:id="152"/>
    </w:p>
    <w:p w14:paraId="44FC4831">
      <w:pPr>
        <w:pStyle w:val="4"/>
        <w:bidi w:val="0"/>
        <w:spacing w:line="240" w:lineRule="auto"/>
        <w:ind w:firstLine="0" w:firstLineChars="0"/>
        <w:outlineLvl w:val="1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53" w:name="_Toc1108098984"/>
      <w:bookmarkStart w:id="154" w:name="_Toc6467"/>
      <w:bookmarkStart w:id="155" w:name="_Toc24807"/>
      <w:bookmarkStart w:id="156" w:name="_Toc30682"/>
      <w:r>
        <w:rPr>
          <w:rFonts w:hint="eastAsia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default"/>
          <w:b w:val="0"/>
          <w:bCs w:val="0"/>
          <w:sz w:val="21"/>
          <w:szCs w:val="21"/>
        </w:rPr>
        <w:t>.1 信息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来源</w:t>
      </w:r>
      <w:bookmarkEnd w:id="153"/>
      <w:bookmarkEnd w:id="154"/>
      <w:bookmarkEnd w:id="155"/>
      <w:bookmarkEnd w:id="156"/>
    </w:p>
    <w:p w14:paraId="3F31D799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</w:pPr>
      <w:r>
        <w:rPr>
          <w:rFonts w:hint="eastAsia" w:eastAsia="宋体" w:cs="Calibri"/>
          <w:kern w:val="2"/>
          <w:sz w:val="21"/>
          <w:szCs w:val="21"/>
          <w:lang w:val="en-US" w:eastAsia="zh-CN"/>
        </w:rPr>
        <w:t>物业管理行业</w:t>
      </w:r>
      <w:r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  <w:t>ESG</w:t>
      </w:r>
      <w:r>
        <w:rPr>
          <w:rFonts w:hint="eastAsia" w:eastAsia="宋体" w:cs="Calibri"/>
          <w:kern w:val="2"/>
          <w:sz w:val="21"/>
          <w:szCs w:val="21"/>
          <w:lang w:val="en-US" w:eastAsia="zh-CN"/>
        </w:rPr>
        <w:t>评价</w:t>
      </w:r>
      <w:r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  <w:t xml:space="preserve">的主要依据及数据来源，包括： </w:t>
      </w:r>
    </w:p>
    <w:p w14:paraId="69AEBC3D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00" w:leftChars="200" w:hanging="420" w:hangingChars="200"/>
        <w:textAlignment w:val="auto"/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</w:pPr>
      <w:r>
        <w:rPr>
          <w:rFonts w:hint="eastAsia" w:eastAsia="宋体" w:cs="Calibri"/>
          <w:kern w:val="2"/>
          <w:sz w:val="21"/>
          <w:szCs w:val="21"/>
          <w:lang w:val="en-US" w:eastAsia="zh-CN"/>
        </w:rPr>
        <w:t>——</w:t>
      </w:r>
      <w:r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  <w:t>企业公开</w:t>
      </w:r>
      <w:r>
        <w:rPr>
          <w:rFonts w:hint="eastAsia" w:eastAsia="宋体" w:cs="Calibri"/>
          <w:kern w:val="2"/>
          <w:sz w:val="21"/>
          <w:szCs w:val="21"/>
          <w:lang w:val="en-US" w:eastAsia="zh-CN"/>
        </w:rPr>
        <w:t>可查</w:t>
      </w:r>
      <w:r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  <w:t xml:space="preserve">的ESG相关文件、材料、数据、信息等； </w:t>
      </w:r>
    </w:p>
    <w:p w14:paraId="73A1E73F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00" w:leftChars="200" w:hanging="420" w:hangingChars="200"/>
        <w:textAlignment w:val="auto"/>
        <w:rPr>
          <w:rFonts w:hint="eastAsia" w:eastAsia="宋体" w:cs="Calibri"/>
          <w:kern w:val="2"/>
          <w:sz w:val="21"/>
          <w:szCs w:val="21"/>
          <w:lang w:val="en-US" w:eastAsia="zh-CN"/>
        </w:rPr>
      </w:pPr>
      <w:r>
        <w:rPr>
          <w:rFonts w:hint="eastAsia" w:eastAsia="宋体" w:cs="Calibri"/>
          <w:kern w:val="2"/>
          <w:sz w:val="21"/>
          <w:szCs w:val="21"/>
          <w:lang w:val="en-US" w:eastAsia="zh-CN"/>
        </w:rPr>
        <w:t>——企业主动提交的ESG相关证明性材料，企业须保证所提交内容的真实性、准确性和完整性；</w:t>
      </w:r>
    </w:p>
    <w:p w14:paraId="6201C292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00" w:leftChars="200" w:hanging="420" w:hangingChars="200"/>
        <w:textAlignment w:val="auto"/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</w:pPr>
      <w:r>
        <w:rPr>
          <w:rFonts w:hint="eastAsia" w:eastAsia="宋体" w:cs="Calibri"/>
          <w:kern w:val="2"/>
          <w:sz w:val="21"/>
          <w:szCs w:val="21"/>
          <w:lang w:val="en-US" w:eastAsia="zh-CN"/>
        </w:rPr>
        <w:t>——</w:t>
      </w:r>
      <w:r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  <w:t>公共信用信息</w:t>
      </w:r>
      <w:r>
        <w:rPr>
          <w:rFonts w:hint="eastAsia" w:eastAsia="宋体" w:cs="Calibri"/>
          <w:kern w:val="2"/>
          <w:sz w:val="21"/>
          <w:szCs w:val="21"/>
          <w:lang w:val="en-US" w:eastAsia="zh-CN"/>
        </w:rPr>
        <w:t>公示</w:t>
      </w:r>
      <w:r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  <w:t>系统及相关部门提供的</w:t>
      </w:r>
      <w:r>
        <w:rPr>
          <w:rFonts w:hint="eastAsia" w:eastAsia="宋体" w:cs="Calibri"/>
          <w:kern w:val="2"/>
          <w:sz w:val="21"/>
          <w:szCs w:val="21"/>
          <w:lang w:val="en-US" w:eastAsia="zh-CN"/>
        </w:rPr>
        <w:t>企业</w:t>
      </w:r>
      <w:r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  <w:t xml:space="preserve">ESG管理及绩效相关数据； </w:t>
      </w:r>
    </w:p>
    <w:p w14:paraId="0BAA65B5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00" w:leftChars="200" w:hanging="420" w:hangingChars="200"/>
        <w:textAlignment w:val="auto"/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</w:pPr>
      <w:r>
        <w:rPr>
          <w:rFonts w:hint="eastAsia" w:eastAsia="宋体" w:cs="Calibri"/>
          <w:kern w:val="2"/>
          <w:sz w:val="21"/>
          <w:szCs w:val="21"/>
          <w:lang w:val="en-US" w:eastAsia="zh-CN"/>
        </w:rPr>
        <w:t>——</w:t>
      </w:r>
      <w:r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  <w:t>评价机构经实地考察或</w:t>
      </w:r>
      <w:r>
        <w:rPr>
          <w:rFonts w:hint="default" w:ascii="Times New Roman" w:hAnsi="Times New Roman" w:eastAsia="宋体" w:cs="Calibri"/>
          <w:kern w:val="2"/>
          <w:sz w:val="21"/>
          <w:szCs w:val="21"/>
          <w:lang w:val="en-US" w:eastAsia="zh-CN"/>
        </w:rPr>
        <w:t>调查</w:t>
      </w:r>
      <w:r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  <w:t xml:space="preserve">、访谈等方式获得的数据，以及第三方机构提供的相关数据； </w:t>
      </w:r>
    </w:p>
    <w:p w14:paraId="4548517F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00" w:leftChars="200" w:hanging="420" w:hangingChars="20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eastAsia="宋体" w:cs="Calibri"/>
          <w:kern w:val="2"/>
          <w:sz w:val="21"/>
          <w:szCs w:val="21"/>
          <w:lang w:val="en-US" w:eastAsia="zh-CN"/>
        </w:rPr>
        <w:t>——</w:t>
      </w:r>
      <w:r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/>
        </w:rPr>
        <w:t>地方政府部门、主管部门及行业协会、权威可信媒体提供的其他材料或数据。</w:t>
      </w:r>
    </w:p>
    <w:p w14:paraId="78AEB809">
      <w:pPr>
        <w:pStyle w:val="4"/>
        <w:bidi w:val="0"/>
        <w:spacing w:line="240" w:lineRule="auto"/>
        <w:ind w:firstLine="0" w:firstLineChars="0"/>
        <w:outlineLvl w:val="1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157" w:name="_Toc4157"/>
      <w:bookmarkStart w:id="158" w:name="_Toc841437304"/>
      <w:bookmarkStart w:id="159" w:name="_Toc15045"/>
      <w:bookmarkStart w:id="160" w:name="_Toc20089"/>
      <w:r>
        <w:rPr>
          <w:rFonts w:hint="eastAsia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default"/>
          <w:b w:val="0"/>
          <w:bCs w:val="0"/>
          <w:sz w:val="21"/>
          <w:szCs w:val="21"/>
        </w:rPr>
        <w:t>.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default"/>
          <w:b w:val="0"/>
          <w:bCs w:val="0"/>
          <w:sz w:val="21"/>
          <w:szCs w:val="21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评价步骤</w:t>
      </w:r>
      <w:bookmarkEnd w:id="157"/>
      <w:bookmarkEnd w:id="158"/>
      <w:bookmarkEnd w:id="159"/>
      <w:bookmarkEnd w:id="160"/>
    </w:p>
    <w:p w14:paraId="3CA02EC4">
      <w:pPr>
        <w:ind w:left="0" w:leftChars="0" w:firstLine="0" w:firstLineChars="0"/>
        <w:jc w:val="left"/>
      </w:pPr>
      <w:r>
        <w:rPr>
          <w:rFonts w:hint="eastAsia" w:eastAsia="宋体" w:cs="Calibri"/>
          <w:kern w:val="2"/>
          <w:sz w:val="21"/>
          <w:szCs w:val="21"/>
          <w:lang w:eastAsia="zh-CN"/>
        </w:rPr>
        <w:t>物业服务企业环境、社会和治理（</w:t>
      </w:r>
      <w:r>
        <w:rPr>
          <w:rFonts w:hint="eastAsia" w:eastAsia="宋体" w:cs="Calibri"/>
          <w:kern w:val="2"/>
          <w:sz w:val="21"/>
          <w:szCs w:val="21"/>
          <w:lang w:val="en-US" w:eastAsia="zh-CN"/>
        </w:rPr>
        <w:t>ESG</w:t>
      </w:r>
      <w:r>
        <w:rPr>
          <w:rFonts w:hint="eastAsia" w:eastAsia="宋体" w:cs="Calibri"/>
          <w:kern w:val="2"/>
          <w:sz w:val="21"/>
          <w:szCs w:val="21"/>
          <w:lang w:eastAsia="zh-CN"/>
        </w:rPr>
        <w:t>）的评价路线如图</w:t>
      </w:r>
      <w:r>
        <w:rPr>
          <w:rFonts w:hint="eastAsia" w:eastAsia="宋体" w:cs="Calibri"/>
          <w:kern w:val="2"/>
          <w:sz w:val="21"/>
          <w:szCs w:val="21"/>
          <w:lang w:val="en-US" w:eastAsia="zh-CN"/>
        </w:rPr>
        <w:t>1</w:t>
      </w:r>
      <w:r>
        <w:rPr>
          <w:rFonts w:hint="eastAsia" w:eastAsia="宋体" w:cs="Calibri"/>
          <w:kern w:val="2"/>
          <w:sz w:val="21"/>
          <w:szCs w:val="21"/>
          <w:lang w:eastAsia="zh-CN"/>
        </w:rPr>
        <w:t>。</w:t>
      </w:r>
    </w:p>
    <w:p w14:paraId="421330BC">
      <w:pPr>
        <w:ind w:left="0" w:leftChars="0" w:firstLine="0" w:firstLineChars="0"/>
        <w:jc w:val="center"/>
        <w:rPr>
          <w:rFonts w:hint="default" w:eastAsiaTheme="minorEastAsia"/>
          <w:highlight w:val="none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1424305</wp:posOffset>
            </wp:positionH>
            <wp:positionV relativeFrom="paragraph">
              <wp:posOffset>81280</wp:posOffset>
            </wp:positionV>
            <wp:extent cx="3280410" cy="2622550"/>
            <wp:effectExtent l="0" t="0" r="1270" b="635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041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1"/>
          <w:szCs w:val="22"/>
          <w:highlight w:val="none"/>
          <w:lang w:val="en-US" w:eastAsia="zh-CN"/>
        </w:rPr>
        <w:t>图1 物业服务企业环境、社会和治理（ESG）评价路线</w:t>
      </w:r>
    </w:p>
    <w:p w14:paraId="1D742007">
      <w:pPr>
        <w:pStyle w:val="4"/>
        <w:autoSpaceDE/>
        <w:autoSpaceDN/>
        <w:bidi w:val="0"/>
        <w:spacing w:line="240" w:lineRule="auto"/>
        <w:ind w:firstLine="0" w:firstLineChars="0"/>
        <w:outlineLvl w:val="1"/>
        <w:rPr>
          <w:rFonts w:hint="default"/>
          <w:b w:val="0"/>
          <w:bCs w:val="0"/>
          <w:sz w:val="21"/>
          <w:szCs w:val="21"/>
        </w:rPr>
      </w:pPr>
      <w:bookmarkStart w:id="161" w:name="_Toc27856"/>
      <w:bookmarkStart w:id="162" w:name="_Toc2372"/>
      <w:bookmarkStart w:id="163" w:name="_Toc856952833"/>
      <w:bookmarkStart w:id="164" w:name="_Toc28643"/>
      <w:r>
        <w:rPr>
          <w:rFonts w:hint="eastAsia"/>
          <w:b w:val="0"/>
          <w:bCs w:val="0"/>
          <w:sz w:val="21"/>
          <w:szCs w:val="21"/>
          <w:lang w:val="en-US" w:eastAsia="zh-CN"/>
        </w:rPr>
        <w:t>7.3 评价方法</w:t>
      </w:r>
      <w:bookmarkEnd w:id="161"/>
      <w:bookmarkEnd w:id="162"/>
      <w:bookmarkEnd w:id="163"/>
      <w:bookmarkEnd w:id="164"/>
    </w:p>
    <w:p w14:paraId="2BB5BAE4">
      <w:pPr>
        <w:spacing w:line="240" w:lineRule="auto"/>
        <w:ind w:firstLine="0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7.3.1 应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根据收集到的被评价企业ESG</w:t>
      </w:r>
      <w:r>
        <w:rPr>
          <w:rFonts w:hint="eastAsia" w:cs="Times New Roman"/>
          <w:sz w:val="21"/>
          <w:szCs w:val="21"/>
          <w:lang w:val="en-US" w:eastAsia="zh-CN"/>
        </w:rPr>
        <w:t>信息披露情况，结合企业ESG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管理过程和绩效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或相关资料，评价机构</w:t>
      </w:r>
      <w:r>
        <w:rPr>
          <w:rFonts w:hint="eastAsia"/>
          <w:sz w:val="21"/>
          <w:szCs w:val="21"/>
          <w:lang w:val="en-US" w:eastAsia="zh-CN"/>
        </w:rPr>
        <w:t>按附录A对企业进行评价。</w:t>
      </w:r>
    </w:p>
    <w:p w14:paraId="6D343AE6">
      <w:pPr>
        <w:bidi w:val="0"/>
        <w:spacing w:line="240" w:lineRule="auto"/>
        <w:ind w:firstLine="0" w:firstLineChars="0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sz w:val="21"/>
          <w:szCs w:val="21"/>
          <w:highlight w:val="none"/>
          <w:lang w:val="en-US" w:eastAsia="zh-CN"/>
        </w:rPr>
        <w:t xml:space="preserve">7.3.2 </w:t>
      </w:r>
      <w:r>
        <w:rPr>
          <w:rFonts w:hint="eastAsia" w:cs="Times New Roman"/>
          <w:sz w:val="21"/>
          <w:szCs w:val="21"/>
          <w:lang w:val="en-US" w:eastAsia="zh-CN"/>
        </w:rPr>
        <w:t>应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根据各指标权重计算出企业ESG发展初始分。计算公式为：</w:t>
      </w:r>
    </w:p>
    <w:p w14:paraId="5811251C">
      <w:pPr>
        <w:bidi w:val="0"/>
        <w:spacing w:line="240" w:lineRule="auto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drawing>
          <wp:inline distT="0" distB="0" distL="114300" distR="114300">
            <wp:extent cx="1750060" cy="3028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E665A">
      <w:pPr>
        <w:bidi w:val="0"/>
        <w:spacing w:line="240" w:lineRule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sz w:val="21"/>
          <w:szCs w:val="21"/>
          <w:highlight w:val="none"/>
          <w:lang w:val="en-US" w:eastAsia="zh-CN"/>
        </w:rPr>
        <w:t>式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中：</w:t>
      </w:r>
    </w:p>
    <w:p w14:paraId="2C6F90DE">
      <w:pPr>
        <w:bidi w:val="0"/>
        <w:spacing w:line="240" w:lineRule="auto"/>
        <w:rPr>
          <w:rFonts w:hint="eastAsia" w:cs="Times New Roman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sz w:val="21"/>
          <w:szCs w:val="21"/>
          <w:highlight w:val="none"/>
          <w:lang w:val="en-US" w:eastAsia="zh-CN"/>
        </w:rPr>
        <w:t>Score——企业ESG评价得分；</w:t>
      </w:r>
    </w:p>
    <w:p w14:paraId="75780072">
      <w:pPr>
        <w:bidi w:val="0"/>
        <w:spacing w:line="240" w:lineRule="auto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 xml:space="preserve">i——一级指标序号； </w:t>
      </w:r>
    </w:p>
    <w:p w14:paraId="1107F581">
      <w:pPr>
        <w:bidi w:val="0"/>
        <w:spacing w:line="240" w:lineRule="auto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 xml:space="preserve">j——二级指标序号； </w:t>
      </w:r>
    </w:p>
    <w:p w14:paraId="062EDBC8">
      <w:pPr>
        <w:bidi w:val="0"/>
        <w:spacing w:line="240" w:lineRule="auto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 xml:space="preserve">n——一级指标的数量； </w:t>
      </w:r>
    </w:p>
    <w:p w14:paraId="0E13E638">
      <w:pPr>
        <w:bidi w:val="0"/>
        <w:spacing w:line="240" w:lineRule="auto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 xml:space="preserve">m——一级指标下二级指标的数量； </w:t>
      </w:r>
    </w:p>
    <w:p w14:paraId="3D11EB4D">
      <w:pPr>
        <w:bidi w:val="0"/>
        <w:spacing w:line="240" w:lineRule="auto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a</w:t>
      </w:r>
      <w:r>
        <w:rPr>
          <w:rFonts w:hint="eastAsia"/>
          <w:sz w:val="21"/>
          <w:szCs w:val="21"/>
          <w:highlight w:val="none"/>
          <w:vertAlign w:val="subscript"/>
          <w:lang w:val="en-US" w:eastAsia="zh-CN"/>
        </w:rPr>
        <w:t>ij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——第i个一级指标下的第j个指标的权重； </w:t>
      </w:r>
    </w:p>
    <w:p w14:paraId="5E7D362C">
      <w:pPr>
        <w:bidi w:val="0"/>
        <w:spacing w:line="240" w:lineRule="auto"/>
        <w:rPr>
          <w:rFonts w:hint="eastAsia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F</w:t>
      </w:r>
      <w:r>
        <w:rPr>
          <w:rFonts w:hint="eastAsia"/>
          <w:sz w:val="21"/>
          <w:szCs w:val="21"/>
          <w:highlight w:val="none"/>
          <w:vertAlign w:val="subscript"/>
          <w:lang w:val="en-US" w:eastAsia="zh-CN"/>
        </w:rPr>
        <w:t>ij</w:t>
      </w:r>
      <w:r>
        <w:rPr>
          <w:rFonts w:hint="eastAsia"/>
          <w:sz w:val="21"/>
          <w:szCs w:val="21"/>
          <w:highlight w:val="none"/>
          <w:lang w:val="en-US" w:eastAsia="zh-CN"/>
        </w:rPr>
        <w:t>——第i个一级指标下的第j个指标的分数值。</w:t>
      </w:r>
    </w:p>
    <w:p w14:paraId="24AA647F">
      <w:pPr>
        <w:bidi w:val="0"/>
        <w:spacing w:line="240" w:lineRule="auto"/>
        <w:ind w:firstLine="0" w:firstLineChars="0"/>
        <w:rPr>
          <w:rFonts w:hint="eastAsia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7.3.3 初始分得出之后，</w:t>
      </w:r>
      <w:r>
        <w:rPr>
          <w:rFonts w:hint="eastAsia" w:cs="Times New Roman"/>
          <w:sz w:val="21"/>
          <w:szCs w:val="21"/>
          <w:lang w:val="en-US" w:eastAsia="zh-CN"/>
        </w:rPr>
        <w:t>应</w:t>
      </w:r>
      <w:r>
        <w:rPr>
          <w:rFonts w:hint="eastAsia"/>
          <w:sz w:val="21"/>
          <w:szCs w:val="21"/>
          <w:highlight w:val="none"/>
          <w:lang w:val="en-US" w:eastAsia="zh-CN"/>
        </w:rPr>
        <w:t>根据公开信息查询，对否决项指标内容进行核查，进行否决项扣分调整；对加分项的指标内容进行判定，并给予加分调整，最终得出企业ESG评价得分。</w:t>
      </w:r>
    </w:p>
    <w:p w14:paraId="6EF53BE8">
      <w:pPr>
        <w:pStyle w:val="4"/>
        <w:autoSpaceDE/>
        <w:autoSpaceDN/>
        <w:bidi w:val="0"/>
        <w:spacing w:line="240" w:lineRule="auto"/>
        <w:ind w:firstLine="0" w:firstLineChars="0"/>
        <w:outlineLvl w:val="1"/>
        <w:rPr>
          <w:rFonts w:hint="default"/>
          <w:b w:val="0"/>
          <w:bCs w:val="0"/>
          <w:sz w:val="21"/>
          <w:szCs w:val="21"/>
          <w:lang w:val="en-US"/>
        </w:rPr>
      </w:pPr>
      <w:bookmarkStart w:id="165" w:name="_Toc25105"/>
      <w:bookmarkStart w:id="166" w:name="_Toc23795"/>
      <w:bookmarkStart w:id="167" w:name="_Toc1780927449"/>
      <w:bookmarkStart w:id="168" w:name="_Toc10219"/>
      <w:r>
        <w:rPr>
          <w:rFonts w:hint="eastAsia"/>
          <w:b w:val="0"/>
          <w:bCs w:val="0"/>
          <w:sz w:val="21"/>
          <w:szCs w:val="21"/>
          <w:lang w:val="en-US" w:eastAsia="zh-CN"/>
        </w:rPr>
        <w:t>7.4 评价结果</w:t>
      </w:r>
      <w:bookmarkEnd w:id="165"/>
      <w:bookmarkEnd w:id="166"/>
      <w:bookmarkEnd w:id="167"/>
      <w:bookmarkEnd w:id="168"/>
    </w:p>
    <w:p w14:paraId="6158B802">
      <w:pPr>
        <w:spacing w:line="240" w:lineRule="auto"/>
        <w:ind w:firstLine="420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物业服务企业环境、社会和治理（ESG）评价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等级根据得分划分为</w:t>
      </w:r>
      <w:r>
        <w:rPr>
          <w:rFonts w:hint="eastAsia" w:cs="Times New Roman"/>
          <w:sz w:val="21"/>
          <w:szCs w:val="21"/>
          <w:lang w:val="en-US" w:eastAsia="zh-CN"/>
        </w:rPr>
        <w:t>五级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，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具体分级分类方法</w:t>
      </w:r>
      <w:r>
        <w:rPr>
          <w:rFonts w:hint="eastAsia" w:cs="Times New Roman"/>
          <w:sz w:val="21"/>
          <w:szCs w:val="21"/>
          <w:lang w:val="en-US" w:eastAsia="zh-CN"/>
        </w:rPr>
        <w:t>见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表</w:t>
      </w:r>
      <w:r>
        <w:rPr>
          <w:rFonts w:hint="eastAsia" w:cs="Times New Roman"/>
          <w:sz w:val="21"/>
          <w:szCs w:val="21"/>
          <w:lang w:val="en-US" w:eastAsia="zh-CN"/>
        </w:rPr>
        <w:t>4。</w:t>
      </w:r>
    </w:p>
    <w:p w14:paraId="70BBFE4E">
      <w:pPr>
        <w:ind w:left="0" w:leftChars="0" w:firstLine="0" w:firstLineChars="0"/>
        <w:jc w:val="center"/>
        <w:rPr>
          <w:rFonts w:hint="eastAsia" w:eastAsia="黑体"/>
          <w:sz w:val="21"/>
          <w:szCs w:val="21"/>
          <w:lang w:val="en-US" w:eastAsia="zh-CN"/>
        </w:rPr>
      </w:pPr>
      <w:r>
        <w:rPr>
          <w:rFonts w:hint="eastAsia" w:eastAsia="黑体"/>
          <w:sz w:val="21"/>
          <w:szCs w:val="21"/>
          <w:lang w:val="en-US" w:eastAsia="zh-CN"/>
        </w:rPr>
        <w:t>表4 物业服务企业环境、社会和治理（ESG）评价等级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3640"/>
      </w:tblGrid>
      <w:tr w14:paraId="64F0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40" w:type="dxa"/>
            <w:shd w:val="clear" w:color="auto" w:fill="D7D7D7" w:themeFill="background1" w:themeFillShade="D8"/>
            <w:vAlign w:val="center"/>
          </w:tcPr>
          <w:p w14:paraId="1ABA3E1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级别</w:t>
            </w:r>
          </w:p>
        </w:tc>
        <w:tc>
          <w:tcPr>
            <w:tcW w:w="3640" w:type="dxa"/>
            <w:shd w:val="clear" w:color="auto" w:fill="D7D7D7" w:themeFill="background1" w:themeFillShade="D8"/>
            <w:vAlign w:val="center"/>
          </w:tcPr>
          <w:p w14:paraId="12EB0D32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评价分数区间</w:t>
            </w:r>
          </w:p>
        </w:tc>
      </w:tr>
      <w:tr w14:paraId="0C1A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640" w:type="dxa"/>
            <w:vAlign w:val="center"/>
          </w:tcPr>
          <w:p w14:paraId="26C804CD">
            <w:p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AAAAA</w:t>
            </w:r>
          </w:p>
        </w:tc>
        <w:tc>
          <w:tcPr>
            <w:tcW w:w="3640" w:type="dxa"/>
            <w:vAlign w:val="center"/>
          </w:tcPr>
          <w:p w14:paraId="2D2D7365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~100</w:t>
            </w:r>
          </w:p>
        </w:tc>
      </w:tr>
      <w:tr w14:paraId="780F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640" w:type="dxa"/>
            <w:vAlign w:val="center"/>
          </w:tcPr>
          <w:p w14:paraId="47CA0D92">
            <w:p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AAAA</w:t>
            </w:r>
          </w:p>
        </w:tc>
        <w:tc>
          <w:tcPr>
            <w:tcW w:w="3640" w:type="dxa"/>
            <w:vAlign w:val="center"/>
          </w:tcPr>
          <w:p w14:paraId="0056887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91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~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 w14:paraId="5D62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640" w:type="dxa"/>
            <w:vAlign w:val="center"/>
          </w:tcPr>
          <w:p w14:paraId="75668F7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AAA</w:t>
            </w:r>
          </w:p>
        </w:tc>
        <w:tc>
          <w:tcPr>
            <w:tcW w:w="3640" w:type="dxa"/>
            <w:vAlign w:val="center"/>
          </w:tcPr>
          <w:p w14:paraId="0B317AB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81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~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90</w:t>
            </w:r>
          </w:p>
        </w:tc>
      </w:tr>
      <w:tr w14:paraId="254F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640" w:type="dxa"/>
            <w:vAlign w:val="center"/>
          </w:tcPr>
          <w:p w14:paraId="1EDDDA42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3640" w:type="dxa"/>
            <w:vAlign w:val="center"/>
          </w:tcPr>
          <w:p w14:paraId="5FC1BE72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71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~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80</w:t>
            </w:r>
          </w:p>
        </w:tc>
      </w:tr>
      <w:tr w14:paraId="4063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640" w:type="dxa"/>
            <w:vAlign w:val="center"/>
          </w:tcPr>
          <w:p w14:paraId="54F43C7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A</w:t>
            </w:r>
          </w:p>
        </w:tc>
        <w:tc>
          <w:tcPr>
            <w:tcW w:w="3640" w:type="dxa"/>
            <w:vAlign w:val="center"/>
          </w:tcPr>
          <w:p w14:paraId="282184C8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61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~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70</w:t>
            </w:r>
          </w:p>
        </w:tc>
      </w:tr>
    </w:tbl>
    <w:p w14:paraId="1F883169">
      <w:pPr>
        <w:pStyle w:val="4"/>
        <w:autoSpaceDE/>
        <w:autoSpaceDN/>
        <w:bidi w:val="0"/>
        <w:spacing w:line="240" w:lineRule="auto"/>
        <w:ind w:firstLine="0" w:firstLineChars="0"/>
        <w:outlineLvl w:val="1"/>
        <w:rPr>
          <w:rFonts w:hint="default"/>
          <w:b w:val="0"/>
          <w:bCs w:val="0"/>
          <w:sz w:val="21"/>
          <w:szCs w:val="21"/>
          <w:lang w:val="en-US"/>
        </w:rPr>
      </w:pPr>
      <w:bookmarkStart w:id="169" w:name="_Toc420563457"/>
      <w:bookmarkStart w:id="170" w:name="_Toc4692"/>
      <w:bookmarkStart w:id="171" w:name="_Toc7785"/>
      <w:bookmarkStart w:id="172" w:name="_Toc13006"/>
      <w:r>
        <w:rPr>
          <w:rFonts w:hint="eastAsia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default"/>
          <w:b w:val="0"/>
          <w:bCs w:val="0"/>
          <w:sz w:val="21"/>
          <w:szCs w:val="21"/>
        </w:rPr>
        <w:t>.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default"/>
          <w:b w:val="0"/>
          <w:bCs w:val="0"/>
          <w:sz w:val="21"/>
          <w:szCs w:val="21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结果应用</w:t>
      </w:r>
      <w:bookmarkEnd w:id="169"/>
      <w:bookmarkEnd w:id="170"/>
      <w:bookmarkEnd w:id="171"/>
      <w:bookmarkEnd w:id="172"/>
    </w:p>
    <w:p w14:paraId="348A07F0">
      <w:pPr>
        <w:spacing w:line="240" w:lineRule="auto"/>
        <w:ind w:firstLine="420"/>
        <w:rPr>
          <w:rFonts w:hint="eastAsia" w:ascii="Times New Roman" w:hAnsi="Times New Roman" w:cs="Times New Roman"/>
          <w:sz w:val="21"/>
          <w:szCs w:val="21"/>
        </w:rPr>
        <w:sectPr>
          <w:footerReference r:id="rId8" w:type="default"/>
          <w:pgSz w:w="11906" w:h="16838"/>
          <w:pgMar w:top="567" w:right="1129" w:bottom="1134" w:left="141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sz w:val="21"/>
          <w:szCs w:val="21"/>
        </w:rPr>
        <w:t>评价实施方</w:t>
      </w:r>
      <w:r>
        <w:rPr>
          <w:rFonts w:hint="eastAsia" w:cs="Times New Roman"/>
          <w:sz w:val="21"/>
          <w:szCs w:val="21"/>
          <w:lang w:val="en-US" w:eastAsia="zh-CN"/>
        </w:rPr>
        <w:t>宜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根据</w:t>
      </w:r>
      <w:r>
        <w:rPr>
          <w:rFonts w:hint="eastAsia" w:cs="Times New Roman"/>
          <w:sz w:val="21"/>
          <w:szCs w:val="21"/>
          <w:lang w:val="en-US" w:eastAsia="zh-CN"/>
        </w:rPr>
        <w:t>评价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结果</w:t>
      </w:r>
      <w:r>
        <w:rPr>
          <w:rFonts w:hint="eastAsia" w:ascii="Times New Roman" w:hAnsi="Times New Roman" w:cs="Times New Roman"/>
          <w:sz w:val="21"/>
          <w:szCs w:val="21"/>
        </w:rPr>
        <w:t>形成评级报告，报告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内容</w:t>
      </w:r>
      <w:r>
        <w:rPr>
          <w:rFonts w:hint="eastAsia" w:ascii="Times New Roman" w:hAnsi="Times New Roman" w:cs="Times New Roman"/>
          <w:sz w:val="21"/>
          <w:szCs w:val="21"/>
        </w:rPr>
        <w:t>宜包括</w:t>
      </w:r>
      <w:r>
        <w:rPr>
          <w:rFonts w:hint="eastAsia" w:cs="Times New Roman"/>
          <w:sz w:val="21"/>
          <w:szCs w:val="21"/>
          <w:lang w:val="en-US" w:eastAsia="zh-CN"/>
        </w:rPr>
        <w:t>物业服务企业环境、社会和治理（ESG）评价</w:t>
      </w:r>
      <w:r>
        <w:rPr>
          <w:rFonts w:hint="eastAsia" w:ascii="Times New Roman" w:hAnsi="Times New Roman" w:cs="Times New Roman"/>
          <w:sz w:val="21"/>
          <w:szCs w:val="21"/>
        </w:rPr>
        <w:t>得分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、</w:t>
      </w:r>
      <w:r>
        <w:rPr>
          <w:rFonts w:hint="eastAsia" w:ascii="Times New Roman" w:hAnsi="Times New Roman" w:cs="Times New Roman"/>
          <w:sz w:val="21"/>
          <w:szCs w:val="21"/>
        </w:rPr>
        <w:t>评级结果分析、评价结论及建议等内容。</w:t>
      </w:r>
    </w:p>
    <w:bookmarkEnd w:id="138"/>
    <w:bookmarkEnd w:id="139"/>
    <w:bookmarkEnd w:id="140"/>
    <w:p w14:paraId="25206444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240" w:lineRule="auto"/>
        <w:ind w:left="0" w:leftChars="0" w:firstLine="0" w:firstLineChars="0"/>
        <w:jc w:val="center"/>
        <w:textAlignment w:val="auto"/>
        <w:rPr>
          <w:rFonts w:hint="eastAsia" w:cs="黑体"/>
          <w:b w:val="0"/>
          <w:bCs w:val="0"/>
          <w:sz w:val="21"/>
          <w:szCs w:val="21"/>
          <w:lang w:val="en-US" w:eastAsia="zh-CN"/>
        </w:rPr>
      </w:pPr>
      <w:bookmarkStart w:id="173" w:name="_Toc1897383130"/>
      <w:bookmarkStart w:id="174" w:name="_Toc4510"/>
      <w:bookmarkStart w:id="175" w:name="_Toc2837"/>
      <w:bookmarkStart w:id="176" w:name="_Toc31239"/>
      <w:bookmarkStart w:id="177" w:name="_Toc18261"/>
      <w:r>
        <w:rPr>
          <w:rFonts w:hint="eastAsia" w:cs="黑体"/>
          <w:b w:val="0"/>
          <w:bCs w:val="0"/>
          <w:sz w:val="21"/>
          <w:szCs w:val="21"/>
          <w:lang w:val="en-US" w:eastAsia="zh-CN"/>
        </w:rPr>
        <w:t>附录A</w:t>
      </w:r>
      <w:bookmarkEnd w:id="173"/>
      <w:bookmarkEnd w:id="174"/>
      <w:bookmarkEnd w:id="175"/>
      <w:bookmarkEnd w:id="176"/>
    </w:p>
    <w:p w14:paraId="439C87EC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（规范性）</w:t>
      </w:r>
    </w:p>
    <w:p w14:paraId="4ADC961C">
      <w:pPr>
        <w:pStyle w:val="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240" w:lineRule="auto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</w:pPr>
      <w:bookmarkStart w:id="178" w:name="_Toc2047452511"/>
      <w:bookmarkStart w:id="179" w:name="_Toc25376"/>
      <w:bookmarkStart w:id="180" w:name="_Toc20218"/>
      <w:bookmarkStart w:id="181" w:name="_Toc1333591607"/>
      <w:bookmarkStart w:id="182" w:name="_Toc1949106851"/>
      <w:bookmarkStart w:id="183" w:name="_Toc6495"/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物业服务企业环境、社会和治理（ESG）评价指标体系及说明</w:t>
      </w:r>
      <w:bookmarkEnd w:id="177"/>
      <w:bookmarkEnd w:id="178"/>
      <w:bookmarkEnd w:id="179"/>
      <w:bookmarkEnd w:id="180"/>
      <w:bookmarkEnd w:id="181"/>
      <w:bookmarkEnd w:id="182"/>
      <w:bookmarkEnd w:id="183"/>
    </w:p>
    <w:p w14:paraId="70A3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物业服务企业环境、社会和治理（ESG）评价指标体系及说明见表A.1。</w:t>
      </w:r>
    </w:p>
    <w:p w14:paraId="7B2FF0A0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843"/>
        <w:gridCol w:w="786"/>
        <w:gridCol w:w="1142"/>
        <w:gridCol w:w="651"/>
        <w:gridCol w:w="650"/>
        <w:gridCol w:w="899"/>
        <w:gridCol w:w="5230"/>
        <w:gridCol w:w="3057"/>
      </w:tblGrid>
      <w:tr w14:paraId="0696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01A6EE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6D4C47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7B838D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7D59A8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4A9736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42236C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45D67C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57DD99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6B1B9C2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4C6D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4AC4D0E4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环境</w:t>
            </w:r>
          </w:p>
          <w:p w14:paraId="364C256F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（27分）</w:t>
            </w:r>
          </w:p>
        </w:tc>
        <w:tc>
          <w:tcPr>
            <w:tcW w:w="843" w:type="dxa"/>
            <w:vMerge w:val="restart"/>
            <w:vAlign w:val="center"/>
          </w:tcPr>
          <w:p w14:paraId="7B1F0C1C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环境管理</w:t>
            </w:r>
          </w:p>
          <w:p w14:paraId="1B90DFE5">
            <w:pPr>
              <w:spacing w:line="240" w:lineRule="auto"/>
              <w:ind w:left="0" w:leftChars="0" w:firstLine="0" w:firstLineChars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（8分）</w:t>
            </w:r>
          </w:p>
        </w:tc>
        <w:tc>
          <w:tcPr>
            <w:tcW w:w="786" w:type="dxa"/>
            <w:vAlign w:val="center"/>
          </w:tcPr>
          <w:p w14:paraId="541C9DCF">
            <w:pPr>
              <w:spacing w:line="240" w:lineRule="auto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  <w:tc>
          <w:tcPr>
            <w:tcW w:w="1142" w:type="dxa"/>
            <w:vAlign w:val="center"/>
          </w:tcPr>
          <w:p w14:paraId="35430F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环境管理制度与体系</w:t>
            </w:r>
          </w:p>
        </w:tc>
        <w:tc>
          <w:tcPr>
            <w:tcW w:w="651" w:type="dxa"/>
            <w:vAlign w:val="center"/>
          </w:tcPr>
          <w:p w14:paraId="7F5293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650" w:type="dxa"/>
            <w:vAlign w:val="center"/>
          </w:tcPr>
          <w:p w14:paraId="03D85C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899" w:type="dxa"/>
            <w:vAlign w:val="center"/>
          </w:tcPr>
          <w:p w14:paraId="1413AD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6E823F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通过GB/T 24001-2020或ISO 14001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2018认证，建立并运行环境管理体系的情况</w:t>
            </w:r>
          </w:p>
        </w:tc>
        <w:tc>
          <w:tcPr>
            <w:tcW w:w="3057" w:type="dxa"/>
            <w:vAlign w:val="center"/>
          </w:tcPr>
          <w:p w14:paraId="1413CE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有企业内部环境管理相关制度文件：1分</w:t>
            </w:r>
          </w:p>
          <w:p w14:paraId="39632A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有环境管理体系相关认证证书：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0.5分</w:t>
            </w:r>
          </w:p>
          <w:p w14:paraId="3E9875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6F0D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B51FD3F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1E815A7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1C27D94D">
            <w:pPr>
              <w:spacing w:line="240" w:lineRule="auto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绿色建筑</w:t>
            </w:r>
          </w:p>
        </w:tc>
        <w:tc>
          <w:tcPr>
            <w:tcW w:w="1142" w:type="dxa"/>
            <w:vAlign w:val="center"/>
          </w:tcPr>
          <w:p w14:paraId="5952943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在管经认证绿色建筑</w:t>
            </w:r>
          </w:p>
        </w:tc>
        <w:tc>
          <w:tcPr>
            <w:tcW w:w="651" w:type="dxa"/>
            <w:vAlign w:val="center"/>
          </w:tcPr>
          <w:p w14:paraId="65B984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650" w:type="dxa"/>
            <w:vAlign w:val="center"/>
          </w:tcPr>
          <w:p w14:paraId="66DF13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vAlign w:val="center"/>
          </w:tcPr>
          <w:p w14:paraId="79F880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2BC55A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披露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在管经第三方认证的绿色楼宇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面积，以平方米为单位</w:t>
            </w:r>
          </w:p>
        </w:tc>
        <w:tc>
          <w:tcPr>
            <w:tcW w:w="3057" w:type="dxa"/>
            <w:vAlign w:val="center"/>
          </w:tcPr>
          <w:p w14:paraId="22FFDF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有：2分</w:t>
            </w:r>
          </w:p>
          <w:p w14:paraId="41ACC6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7C73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58B65EB6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DCC7E8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7786340A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27B330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绿色建筑面积认证百分比</w:t>
            </w:r>
          </w:p>
        </w:tc>
        <w:tc>
          <w:tcPr>
            <w:tcW w:w="651" w:type="dxa"/>
            <w:vAlign w:val="center"/>
          </w:tcPr>
          <w:p w14:paraId="7A74F2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650" w:type="dxa"/>
            <w:vAlign w:val="center"/>
          </w:tcPr>
          <w:p w14:paraId="2245EE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vAlign w:val="center"/>
          </w:tcPr>
          <w:p w14:paraId="75218AE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定量</w:t>
            </w:r>
          </w:p>
        </w:tc>
        <w:tc>
          <w:tcPr>
            <w:tcW w:w="5230" w:type="dxa"/>
            <w:vAlign w:val="center"/>
          </w:tcPr>
          <w:p w14:paraId="2D4622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绿色建筑面积认证百分比=企业在管的经第三方认证的绿色楼宇总面积/企业在管楼宇总面积*100%</w:t>
            </w:r>
          </w:p>
        </w:tc>
        <w:tc>
          <w:tcPr>
            <w:tcW w:w="3057" w:type="dxa"/>
            <w:vAlign w:val="center"/>
          </w:tcPr>
          <w:p w14:paraId="0ADCF9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有：按当年行业基准值区间赋分</w:t>
            </w:r>
          </w:p>
          <w:p w14:paraId="7A0A42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4EB4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75E8E4D6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9F07AD9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Align w:val="center"/>
          </w:tcPr>
          <w:p w14:paraId="6F514518">
            <w:pPr>
              <w:spacing w:line="240" w:lineRule="auto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绿色物业</w:t>
            </w:r>
          </w:p>
        </w:tc>
        <w:tc>
          <w:tcPr>
            <w:tcW w:w="1142" w:type="dxa"/>
            <w:vAlign w:val="center"/>
          </w:tcPr>
          <w:p w14:paraId="638608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低碳社区建设</w:t>
            </w:r>
          </w:p>
        </w:tc>
        <w:tc>
          <w:tcPr>
            <w:tcW w:w="651" w:type="dxa"/>
            <w:vAlign w:val="center"/>
          </w:tcPr>
          <w:p w14:paraId="05AA34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650" w:type="dxa"/>
            <w:vAlign w:val="center"/>
          </w:tcPr>
          <w:p w14:paraId="3B18AD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899" w:type="dxa"/>
            <w:vAlign w:val="center"/>
          </w:tcPr>
          <w:p w14:paraId="788866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3EC209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通过组织管理、技术创新、人员培训等，保障物业项目内各类设施设备（包括但不限于电梯、暖通空调、给排水、供配电、照明等系统）安全、高效、绿色、可持续运行而实施的系统性活动及措施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、成效</w:t>
            </w:r>
          </w:p>
        </w:tc>
        <w:tc>
          <w:tcPr>
            <w:tcW w:w="3057" w:type="dxa"/>
            <w:vAlign w:val="center"/>
          </w:tcPr>
          <w:p w14:paraId="354490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有系统性举措：0.8分</w:t>
            </w:r>
          </w:p>
          <w:p w14:paraId="1EA4D6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有举措实施前后数据对比：0.4分</w:t>
            </w:r>
          </w:p>
          <w:p w14:paraId="3D1F53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有外部奖项认可：0.3分</w:t>
            </w:r>
          </w:p>
          <w:p w14:paraId="138E32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</w:tbl>
    <w:p w14:paraId="5085C7E3"/>
    <w:p w14:paraId="332DCAE8"/>
    <w:p w14:paraId="21EBAA3D">
      <w:pPr>
        <w:ind w:left="0" w:leftChars="0" w:firstLine="0" w:firstLineChars="0"/>
        <w:jc w:val="center"/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5230"/>
        <w:gridCol w:w="3057"/>
      </w:tblGrid>
      <w:tr w14:paraId="1DD0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6BA2B6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04B099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5D3E81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630500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1A5327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36D191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5C4C4B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696060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451F68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6535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2EFA324F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环境</w:t>
            </w:r>
          </w:p>
          <w:p w14:paraId="7B7F41F3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（27分）</w:t>
            </w:r>
          </w:p>
        </w:tc>
        <w:tc>
          <w:tcPr>
            <w:tcW w:w="786" w:type="dxa"/>
            <w:vAlign w:val="center"/>
          </w:tcPr>
          <w:p w14:paraId="61056C4F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环境管理</w:t>
            </w:r>
          </w:p>
          <w:p w14:paraId="5AFFA0E9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（8分）</w:t>
            </w:r>
          </w:p>
        </w:tc>
        <w:tc>
          <w:tcPr>
            <w:tcW w:w="843" w:type="dxa"/>
            <w:vAlign w:val="center"/>
          </w:tcPr>
          <w:p w14:paraId="11AC860E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绿色</w:t>
            </w:r>
          </w:p>
          <w:p w14:paraId="4FA0531C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物业</w:t>
            </w:r>
          </w:p>
        </w:tc>
        <w:tc>
          <w:tcPr>
            <w:tcW w:w="1142" w:type="dxa"/>
            <w:vAlign w:val="center"/>
          </w:tcPr>
          <w:p w14:paraId="550D7B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绿色理念宣传与传播</w:t>
            </w:r>
          </w:p>
        </w:tc>
        <w:tc>
          <w:tcPr>
            <w:tcW w:w="651" w:type="dxa"/>
            <w:vAlign w:val="center"/>
          </w:tcPr>
          <w:p w14:paraId="4E7E81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650" w:type="dxa"/>
            <w:vAlign w:val="center"/>
          </w:tcPr>
          <w:p w14:paraId="24AA11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0D27A1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6BA4BFE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通过宣传栏、线上线下多样化的活动等方式，开展绿色低碳宣传教育，引导业主共同参与节能减碳行动的举措及成效</w:t>
            </w:r>
          </w:p>
        </w:tc>
        <w:tc>
          <w:tcPr>
            <w:tcW w:w="3057" w:type="dxa"/>
            <w:vAlign w:val="center"/>
          </w:tcPr>
          <w:p w14:paraId="4EEECD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7C3E59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0B0E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FC07169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204F86A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应对气候变化</w:t>
            </w:r>
          </w:p>
          <w:p w14:paraId="3057CFB7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（7分）</w:t>
            </w:r>
          </w:p>
        </w:tc>
        <w:tc>
          <w:tcPr>
            <w:tcW w:w="843" w:type="dxa"/>
            <w:vMerge w:val="restart"/>
            <w:vAlign w:val="center"/>
          </w:tcPr>
          <w:p w14:paraId="45DEED48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气候相关风险、机遇和影响管理</w:t>
            </w:r>
          </w:p>
        </w:tc>
        <w:tc>
          <w:tcPr>
            <w:tcW w:w="1142" w:type="dxa"/>
            <w:vAlign w:val="center"/>
          </w:tcPr>
          <w:p w14:paraId="66131E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战略</w:t>
            </w:r>
          </w:p>
        </w:tc>
        <w:tc>
          <w:tcPr>
            <w:tcW w:w="651" w:type="dxa"/>
            <w:vAlign w:val="center"/>
          </w:tcPr>
          <w:p w14:paraId="29FB44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650" w:type="dxa"/>
            <w:vAlign w:val="center"/>
          </w:tcPr>
          <w:p w14:paraId="197C18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010001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53E916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结合所识别的气候相关风险和机遇，评估公司的战略、商业模式等对气候变化的适应性，积极响应国家“双碳”政策号召，将“双碳”理念融入公司发展战略的情况</w:t>
            </w:r>
          </w:p>
        </w:tc>
        <w:tc>
          <w:tcPr>
            <w:tcW w:w="3057" w:type="dxa"/>
            <w:vAlign w:val="center"/>
          </w:tcPr>
          <w:p w14:paraId="55DC09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61F354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6A9A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60F802A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3203BC1C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D34A913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5555AA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治理</w:t>
            </w:r>
          </w:p>
        </w:tc>
        <w:tc>
          <w:tcPr>
            <w:tcW w:w="651" w:type="dxa"/>
            <w:vAlign w:val="center"/>
          </w:tcPr>
          <w:p w14:paraId="45F354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650" w:type="dxa"/>
            <w:vAlign w:val="center"/>
          </w:tcPr>
          <w:p w14:paraId="71A950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7EBD9E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0F67FE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为管理和监督气候相关风险和机遇所建立的治理架构，采取的控制措施和程序</w:t>
            </w:r>
          </w:p>
        </w:tc>
        <w:tc>
          <w:tcPr>
            <w:tcW w:w="3057" w:type="dxa"/>
            <w:vAlign w:val="center"/>
          </w:tcPr>
          <w:p w14:paraId="031858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50036B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7F92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527936AC">
            <w:pPr>
              <w:spacing w:line="240" w:lineRule="auto"/>
              <w:ind w:left="0" w:leftChars="0" w:firstLine="0" w:firstLineChars="0"/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97D65F5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83059D7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7B7CB4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风险和机遇管理</w:t>
            </w:r>
          </w:p>
        </w:tc>
        <w:tc>
          <w:tcPr>
            <w:tcW w:w="651" w:type="dxa"/>
            <w:vAlign w:val="center"/>
          </w:tcPr>
          <w:p w14:paraId="38D980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650" w:type="dxa"/>
            <w:vAlign w:val="center"/>
          </w:tcPr>
          <w:p w14:paraId="37A373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164157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0937BE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建立用于识别、评估气候相关风险和机遇，并对其进行排序和监控的流程，包括这些流程是否以及如何融入企业整体风险管理流程</w:t>
            </w:r>
          </w:p>
        </w:tc>
        <w:tc>
          <w:tcPr>
            <w:tcW w:w="3057" w:type="dxa"/>
            <w:vAlign w:val="center"/>
          </w:tcPr>
          <w:p w14:paraId="0FDA26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3AB548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3F1B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0189B40E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CFAE3D7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CC5ACAE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31A990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减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计划与目标</w:t>
            </w:r>
          </w:p>
        </w:tc>
        <w:tc>
          <w:tcPr>
            <w:tcW w:w="651" w:type="dxa"/>
            <w:vAlign w:val="center"/>
          </w:tcPr>
          <w:p w14:paraId="385F56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650" w:type="dxa"/>
            <w:vAlign w:val="center"/>
          </w:tcPr>
          <w:p w14:paraId="40FDB6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605476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364A06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制定明确的碳减排目标、路径图及取得的阶段性成果，披露减排措施具体进展</w:t>
            </w:r>
          </w:p>
        </w:tc>
        <w:tc>
          <w:tcPr>
            <w:tcW w:w="3057" w:type="dxa"/>
            <w:vAlign w:val="center"/>
          </w:tcPr>
          <w:p w14:paraId="741399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有目标、有路径图或推进方案：0.3分</w:t>
            </w:r>
          </w:p>
          <w:p w14:paraId="434F74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有年度进展：0.2分</w:t>
            </w:r>
          </w:p>
          <w:p w14:paraId="2D6332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6885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5110A944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2576BD4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3BC42034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温室气体排放</w:t>
            </w:r>
          </w:p>
        </w:tc>
        <w:tc>
          <w:tcPr>
            <w:tcW w:w="1142" w:type="dxa"/>
            <w:vAlign w:val="center"/>
          </w:tcPr>
          <w:p w14:paraId="7CCD57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直接（范围1）温室气体排放总量</w:t>
            </w:r>
          </w:p>
        </w:tc>
        <w:tc>
          <w:tcPr>
            <w:tcW w:w="651" w:type="dxa"/>
            <w:vAlign w:val="center"/>
          </w:tcPr>
          <w:p w14:paraId="413219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3F8554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10F2BB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41F2F8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包括企业直接产生的所有温室气体排放，主要来自企业运营中燃烧化石燃料（如煤、天然气或石油）和工业制造过程中的排放。单位以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吨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CO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28"/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当量表示，需明确描述纳入计算的温室气体类型，核算方法依据以及所采用的计算因子来源。通过购买碳配额或碳信用实现的温室气体抵消量应单独说明</w:t>
            </w:r>
          </w:p>
        </w:tc>
        <w:tc>
          <w:tcPr>
            <w:tcW w:w="3057" w:type="dxa"/>
            <w:vAlign w:val="center"/>
          </w:tcPr>
          <w:p w14:paraId="064E52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有数据：1分</w:t>
            </w:r>
          </w:p>
          <w:p w14:paraId="617001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有范围说明：0.25分</w:t>
            </w:r>
          </w:p>
          <w:p w14:paraId="74D035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有核算说明：0.25分</w:t>
            </w:r>
          </w:p>
          <w:p w14:paraId="075B17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</w:tbl>
    <w:p w14:paraId="3AF327B3">
      <w:pPr>
        <w:ind w:left="0" w:leftChars="0" w:firstLine="0" w:firstLineChars="0"/>
        <w:jc w:val="center"/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5230"/>
        <w:gridCol w:w="3057"/>
      </w:tblGrid>
      <w:tr w14:paraId="5DD1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2CC132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307B46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41A5AF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5591E7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36B1700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0AA1C0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156ADE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182E95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6C43AA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306C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6136DF5C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环境</w:t>
            </w:r>
          </w:p>
          <w:p w14:paraId="37537977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（27分）</w:t>
            </w:r>
          </w:p>
        </w:tc>
        <w:tc>
          <w:tcPr>
            <w:tcW w:w="786" w:type="dxa"/>
            <w:vMerge w:val="restart"/>
            <w:vAlign w:val="center"/>
          </w:tcPr>
          <w:p w14:paraId="015B45BF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应对气候变化</w:t>
            </w:r>
          </w:p>
          <w:p w14:paraId="503FE34F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（7分）</w:t>
            </w:r>
          </w:p>
        </w:tc>
        <w:tc>
          <w:tcPr>
            <w:tcW w:w="843" w:type="dxa"/>
            <w:vMerge w:val="restart"/>
            <w:vAlign w:val="center"/>
          </w:tcPr>
          <w:p w14:paraId="67245866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温室气体排放</w:t>
            </w:r>
          </w:p>
        </w:tc>
        <w:tc>
          <w:tcPr>
            <w:tcW w:w="1142" w:type="dxa"/>
            <w:vAlign w:val="center"/>
          </w:tcPr>
          <w:p w14:paraId="2A6CE3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间接（范围2）温室气体排放总量</w:t>
            </w:r>
          </w:p>
        </w:tc>
        <w:tc>
          <w:tcPr>
            <w:tcW w:w="651" w:type="dxa"/>
            <w:vAlign w:val="center"/>
          </w:tcPr>
          <w:p w14:paraId="337DAB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50" w:type="dxa"/>
            <w:vAlign w:val="center"/>
          </w:tcPr>
          <w:p w14:paraId="36C229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479D1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3109BA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包括企业间接排放的温室气体总量，这些排放源于企业消耗的电力、热力、蒸汽和冷却能源。单位以吨CO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当量表示，需明确描述纳入计算的温室气体类型、核算方法依据以及所采用的计算因子来源，并排除碳市场交易。通过购买碳配额或碳信用实现的温室气体抵消量应单独说明</w:t>
            </w:r>
          </w:p>
        </w:tc>
        <w:tc>
          <w:tcPr>
            <w:tcW w:w="3057" w:type="dxa"/>
            <w:vAlign w:val="center"/>
          </w:tcPr>
          <w:p w14:paraId="057846A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有数据：1分</w:t>
            </w:r>
          </w:p>
          <w:p w14:paraId="0F2F32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有范围说明：0.25分</w:t>
            </w:r>
          </w:p>
          <w:p w14:paraId="0BE9A0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有核算说明：0.25分</w:t>
            </w:r>
          </w:p>
          <w:p w14:paraId="266CA3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66C7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743177F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71352B5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E94F2EE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782FDF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其他间接（范围3）温室气体排放总量</w:t>
            </w:r>
          </w:p>
        </w:tc>
        <w:tc>
          <w:tcPr>
            <w:tcW w:w="651" w:type="dxa"/>
            <w:vAlign w:val="center"/>
          </w:tcPr>
          <w:p w14:paraId="35D84A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50" w:type="dxa"/>
            <w:vAlign w:val="center"/>
          </w:tcPr>
          <w:p w14:paraId="14DB9B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1FBECC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640A57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企业对范围3排放进行披露。单位以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吨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CO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28"/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当量表示，需明确价值链上下游类别及活动，核算方法依据以及所采用的计算因子来源，描述纳入计算的温室气体类型。通过购买碳配额或碳信用实现的温室气体抵消量应单独说明</w:t>
            </w:r>
          </w:p>
        </w:tc>
        <w:tc>
          <w:tcPr>
            <w:tcW w:w="3057" w:type="dxa"/>
            <w:vAlign w:val="center"/>
          </w:tcPr>
          <w:p w14:paraId="658376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有数据：0.25分</w:t>
            </w:r>
          </w:p>
          <w:p w14:paraId="13909D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有范围说明：0.125分</w:t>
            </w:r>
          </w:p>
          <w:p w14:paraId="514464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有核算说明：0.125分</w:t>
            </w:r>
          </w:p>
          <w:p w14:paraId="2CF6E6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78EE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19FA504D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68C7276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34BF6AE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6646F7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温室气体排放强度</w:t>
            </w:r>
          </w:p>
        </w:tc>
        <w:tc>
          <w:tcPr>
            <w:tcW w:w="651" w:type="dxa"/>
            <w:vAlign w:val="center"/>
          </w:tcPr>
          <w:p w14:paraId="07DC8B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50" w:type="dxa"/>
            <w:vAlign w:val="center"/>
          </w:tcPr>
          <w:p w14:paraId="21BFF0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2FEDFE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定量</w:t>
            </w:r>
          </w:p>
        </w:tc>
        <w:tc>
          <w:tcPr>
            <w:tcW w:w="5230" w:type="dxa"/>
            <w:vAlign w:val="center"/>
          </w:tcPr>
          <w:p w14:paraId="71478A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温室气体排放强度=温室气体排放绝对值/百万营收或在管物业面积。其中，绝对值包括范围1与范围2温室气体排放量，需明确描述纳入计算的温室气体类型</w:t>
            </w:r>
          </w:p>
        </w:tc>
        <w:tc>
          <w:tcPr>
            <w:tcW w:w="3057" w:type="dxa"/>
            <w:vAlign w:val="center"/>
          </w:tcPr>
          <w:p w14:paraId="01D758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有：按当年行业基准值区间赋分</w:t>
            </w:r>
          </w:p>
          <w:p w14:paraId="4A42D8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61DA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67E310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10702E1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4DD1F1C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4E63B2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温室气体减排量</w:t>
            </w:r>
          </w:p>
        </w:tc>
        <w:tc>
          <w:tcPr>
            <w:tcW w:w="651" w:type="dxa"/>
            <w:vAlign w:val="center"/>
          </w:tcPr>
          <w:p w14:paraId="384855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50" w:type="dxa"/>
            <w:vAlign w:val="center"/>
          </w:tcPr>
          <w:p w14:paraId="69F8A7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76C341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4BE7D1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相比基期，企业在报告期实现的温室气体减排量，可以绝对量或强度指标表示。单位以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吨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CO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28"/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当量表示，需明确描述减排发生的范围，以及纳入计算的温室气体类型。当以绝对量信息披露温室气体减排时，应排除因产能下降或外包实现的减排。通过购买碳配额或碳信用实现的温室气体抵消量应单独说明</w:t>
            </w:r>
          </w:p>
        </w:tc>
        <w:tc>
          <w:tcPr>
            <w:tcW w:w="3057" w:type="dxa"/>
            <w:vAlign w:val="center"/>
          </w:tcPr>
          <w:p w14:paraId="1E7CCC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30D753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55BE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43C628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A9F8701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07FCD021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碳交易</w:t>
            </w:r>
          </w:p>
        </w:tc>
        <w:tc>
          <w:tcPr>
            <w:tcW w:w="1142" w:type="dxa"/>
            <w:vAlign w:val="center"/>
          </w:tcPr>
          <w:p w14:paraId="432436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碳市场履约</w:t>
            </w:r>
          </w:p>
        </w:tc>
        <w:tc>
          <w:tcPr>
            <w:tcW w:w="651" w:type="dxa"/>
            <w:vAlign w:val="center"/>
          </w:tcPr>
          <w:p w14:paraId="2BEE04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50" w:type="dxa"/>
            <w:vAlign w:val="center"/>
          </w:tcPr>
          <w:p w14:paraId="1A4633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2EC18C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1F3C69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在碳市场中的交易表现和合规记录，如碳配额交易、CCER购买等</w:t>
            </w:r>
          </w:p>
        </w:tc>
        <w:tc>
          <w:tcPr>
            <w:tcW w:w="3057" w:type="dxa"/>
            <w:vAlign w:val="center"/>
          </w:tcPr>
          <w:p w14:paraId="7A36E6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186800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</w:tbl>
    <w:p w14:paraId="57150F53">
      <w:pPr>
        <w:ind w:left="0" w:leftChars="0" w:firstLine="0" w:firstLineChars="0"/>
        <w:jc w:val="center"/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5230"/>
        <w:gridCol w:w="3057"/>
      </w:tblGrid>
      <w:tr w14:paraId="30FB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60D033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1D0D47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0C0486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34881D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666F29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7E8BF1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5FB6C0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4C5604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096FAC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7D05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1140A42A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环境</w:t>
            </w:r>
          </w:p>
          <w:p w14:paraId="6CD65E7B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（27分）</w:t>
            </w:r>
          </w:p>
        </w:tc>
        <w:tc>
          <w:tcPr>
            <w:tcW w:w="786" w:type="dxa"/>
            <w:vMerge w:val="restart"/>
            <w:vAlign w:val="center"/>
          </w:tcPr>
          <w:p w14:paraId="4327FA18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能源与资源（7.5分）</w:t>
            </w:r>
          </w:p>
        </w:tc>
        <w:tc>
          <w:tcPr>
            <w:tcW w:w="843" w:type="dxa"/>
            <w:vMerge w:val="restart"/>
            <w:vAlign w:val="center"/>
          </w:tcPr>
          <w:p w14:paraId="66771C77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能源</w:t>
            </w:r>
          </w:p>
        </w:tc>
        <w:tc>
          <w:tcPr>
            <w:tcW w:w="1142" w:type="dxa"/>
            <w:vAlign w:val="center"/>
          </w:tcPr>
          <w:p w14:paraId="0AC3BF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能源管理体系</w:t>
            </w:r>
          </w:p>
        </w:tc>
        <w:tc>
          <w:tcPr>
            <w:tcW w:w="651" w:type="dxa"/>
            <w:vAlign w:val="center"/>
          </w:tcPr>
          <w:p w14:paraId="064C41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50" w:type="dxa"/>
            <w:vAlign w:val="center"/>
          </w:tcPr>
          <w:p w14:paraId="31B33F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2E2525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2C67F0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按GB/T 23331或ISO 50001能源管理体系建立并运行能源管理体系的情况</w:t>
            </w:r>
          </w:p>
        </w:tc>
        <w:tc>
          <w:tcPr>
            <w:tcW w:w="3057" w:type="dxa"/>
            <w:vAlign w:val="center"/>
          </w:tcPr>
          <w:p w14:paraId="61FE22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有企业内部能源管理相关制度文件：0.25分</w:t>
            </w:r>
          </w:p>
          <w:p w14:paraId="0B0142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有能源管理体系相关认证证书：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0.25分</w:t>
            </w:r>
          </w:p>
          <w:p w14:paraId="0EBE3F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5B7F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27E210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7783426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AC8FCE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4DA7B6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节能</w:t>
            </w:r>
          </w:p>
        </w:tc>
        <w:tc>
          <w:tcPr>
            <w:tcW w:w="651" w:type="dxa"/>
            <w:vAlign w:val="center"/>
          </w:tcPr>
          <w:p w14:paraId="464D75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50" w:type="dxa"/>
            <w:vAlign w:val="center"/>
          </w:tcPr>
          <w:p w14:paraId="7F3119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774DEA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1B680A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比基期，企业在报告期开展的节能举措及实现的能源节约量，可以绝对量或强度指标表示。单位以吨标准煤表示。需明确数据统计范围，以及纳入计算的能源类型。当以绝对量信息披露节能信息时，应排除因运营能力下降或外包实现的节能</w:t>
            </w:r>
          </w:p>
        </w:tc>
        <w:tc>
          <w:tcPr>
            <w:tcW w:w="3057" w:type="dxa"/>
            <w:vAlign w:val="center"/>
          </w:tcPr>
          <w:p w14:paraId="003ACF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有节能措施：0.5分</w:t>
            </w:r>
          </w:p>
          <w:p w14:paraId="37D553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有节能数据：0.5分</w:t>
            </w:r>
          </w:p>
          <w:p w14:paraId="60A94F2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7361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5031941A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9B6A3C9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6E8E44F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34D7BD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不可再生燃料消耗总量</w:t>
            </w:r>
          </w:p>
        </w:tc>
        <w:tc>
          <w:tcPr>
            <w:tcW w:w="651" w:type="dxa"/>
            <w:vAlign w:val="center"/>
          </w:tcPr>
          <w:p w14:paraId="258FDA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50" w:type="dxa"/>
            <w:vAlign w:val="center"/>
          </w:tcPr>
          <w:p w14:paraId="75CCD0A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2A5950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587831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企业消耗的所有不可再生燃料的总量，应列出所使用的燃料类型，例如煤炭、天然气和石油。单位以吨标准煤表示</w:t>
            </w:r>
          </w:p>
        </w:tc>
        <w:tc>
          <w:tcPr>
            <w:tcW w:w="3057" w:type="dxa"/>
            <w:vAlign w:val="center"/>
          </w:tcPr>
          <w:p w14:paraId="74D712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63FB18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7485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BDA6CD9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27BD64E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DBDCD8C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45112F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可再生燃料消耗总量</w:t>
            </w:r>
          </w:p>
        </w:tc>
        <w:tc>
          <w:tcPr>
            <w:tcW w:w="651" w:type="dxa"/>
            <w:vAlign w:val="center"/>
          </w:tcPr>
          <w:p w14:paraId="7FD35FA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50" w:type="dxa"/>
            <w:vAlign w:val="center"/>
          </w:tcPr>
          <w:p w14:paraId="5FDFE2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6AA24B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2835AA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企业消耗的来自可再生资源的燃料总量，应列出所使用的燃料类型，如生物质能、太阳能、风能、水力等。单位以吨标准煤表示</w:t>
            </w:r>
          </w:p>
        </w:tc>
        <w:tc>
          <w:tcPr>
            <w:tcW w:w="3057" w:type="dxa"/>
            <w:vAlign w:val="center"/>
          </w:tcPr>
          <w:p w14:paraId="5C989C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147AD70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2EE1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5F19F682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7CF07A80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E02BEAC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407C1B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能源消耗总量</w:t>
            </w:r>
          </w:p>
        </w:tc>
        <w:tc>
          <w:tcPr>
            <w:tcW w:w="651" w:type="dxa"/>
            <w:vAlign w:val="center"/>
          </w:tcPr>
          <w:p w14:paraId="224D97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50" w:type="dxa"/>
            <w:vAlign w:val="center"/>
          </w:tcPr>
          <w:p w14:paraId="40A8BF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0303CC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79EACC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能源消耗总量=（消耗的不可再生燃料）+（消耗的可再生燃料）+（外购电力、人力）-（售出电力、热力），单位以吨标准煤表示</w:t>
            </w:r>
          </w:p>
        </w:tc>
        <w:tc>
          <w:tcPr>
            <w:tcW w:w="3057" w:type="dxa"/>
            <w:vAlign w:val="center"/>
          </w:tcPr>
          <w:p w14:paraId="4299DE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有数据：0.3分</w:t>
            </w:r>
          </w:p>
          <w:p w14:paraId="192C01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有范围说明：0.1分</w:t>
            </w:r>
          </w:p>
          <w:p w14:paraId="36AC7DA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有核算说明：0.1分</w:t>
            </w:r>
          </w:p>
          <w:p w14:paraId="0B47DD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2A35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385EEB1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0B7CE1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07212A7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4B6867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能源消耗强度</w:t>
            </w:r>
          </w:p>
        </w:tc>
        <w:tc>
          <w:tcPr>
            <w:tcW w:w="651" w:type="dxa"/>
            <w:vAlign w:val="center"/>
          </w:tcPr>
          <w:p w14:paraId="08BDB8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50" w:type="dxa"/>
            <w:vAlign w:val="center"/>
          </w:tcPr>
          <w:p w14:paraId="423BF9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11A0B5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定量</w:t>
            </w:r>
          </w:p>
        </w:tc>
        <w:tc>
          <w:tcPr>
            <w:tcW w:w="5230" w:type="dxa"/>
            <w:vAlign w:val="center"/>
          </w:tcPr>
          <w:p w14:paraId="6255BF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能源消耗强度=能源消耗总量/百万营收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或在管物业面积</w:t>
            </w:r>
          </w:p>
        </w:tc>
        <w:tc>
          <w:tcPr>
            <w:tcW w:w="3057" w:type="dxa"/>
            <w:vAlign w:val="center"/>
          </w:tcPr>
          <w:p w14:paraId="4F8575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有：按当年行业基准值区间赋分</w:t>
            </w:r>
          </w:p>
          <w:p w14:paraId="1C24FB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</w:tbl>
    <w:p w14:paraId="211E849E">
      <w:pPr>
        <w:ind w:left="0" w:leftChars="0" w:firstLine="0" w:firstLineChars="0"/>
        <w:jc w:val="center"/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5230"/>
        <w:gridCol w:w="3057"/>
      </w:tblGrid>
      <w:tr w14:paraId="07C5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523718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06AEE8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6B9BB4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6E0E81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6E246D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579A34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3D92A8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2702B8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11ED39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558D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01F01958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环境</w:t>
            </w:r>
          </w:p>
          <w:p w14:paraId="76C692B5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（27分）</w:t>
            </w:r>
          </w:p>
        </w:tc>
        <w:tc>
          <w:tcPr>
            <w:tcW w:w="786" w:type="dxa"/>
            <w:vMerge w:val="restart"/>
            <w:vAlign w:val="center"/>
          </w:tcPr>
          <w:p w14:paraId="5725E34A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能源与资源（7.5分）</w:t>
            </w:r>
          </w:p>
        </w:tc>
        <w:tc>
          <w:tcPr>
            <w:tcW w:w="843" w:type="dxa"/>
            <w:vMerge w:val="restart"/>
            <w:vAlign w:val="center"/>
          </w:tcPr>
          <w:p w14:paraId="0160F3E4">
            <w:pPr>
              <w:spacing w:line="240" w:lineRule="auto"/>
              <w:ind w:left="0" w:leftChars="0" w:firstLine="0" w:firstLineChars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水资源</w:t>
            </w:r>
          </w:p>
        </w:tc>
        <w:tc>
          <w:tcPr>
            <w:tcW w:w="1142" w:type="dxa"/>
            <w:vAlign w:val="center"/>
          </w:tcPr>
          <w:p w14:paraId="10D487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水资源管理体系</w:t>
            </w:r>
          </w:p>
        </w:tc>
        <w:tc>
          <w:tcPr>
            <w:tcW w:w="651" w:type="dxa"/>
            <w:vAlign w:val="center"/>
          </w:tcPr>
          <w:p w14:paraId="12C4D2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50" w:type="dxa"/>
            <w:vAlign w:val="center"/>
          </w:tcPr>
          <w:p w14:paraId="58D0F6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04290F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50275B2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在水资源管理方面建立并运行水资源管理体系的情况，包括制定的制度、专项管理组织等</w:t>
            </w:r>
          </w:p>
        </w:tc>
        <w:tc>
          <w:tcPr>
            <w:tcW w:w="3057" w:type="dxa"/>
            <w:vAlign w:val="center"/>
          </w:tcPr>
          <w:p w14:paraId="52AA96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393609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1C5C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0167D366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93D25B5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375808A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4F0CC0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节水</w:t>
            </w:r>
          </w:p>
        </w:tc>
        <w:tc>
          <w:tcPr>
            <w:tcW w:w="651" w:type="dxa"/>
            <w:vAlign w:val="center"/>
          </w:tcPr>
          <w:p w14:paraId="477B70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50" w:type="dxa"/>
            <w:vAlign w:val="center"/>
          </w:tcPr>
          <w:p w14:paraId="10EC5C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291C01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441CD9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相比基期，企业在报告期开展的节水措施及实现的水资源节约量，可以绝对量或强度指标表示。单位以吨表示。当以绝对量信息披露节能信息时，应排除因运营能力下降或外包实现的节水</w:t>
            </w:r>
          </w:p>
        </w:tc>
        <w:tc>
          <w:tcPr>
            <w:tcW w:w="3057" w:type="dxa"/>
            <w:vAlign w:val="center"/>
          </w:tcPr>
          <w:p w14:paraId="7DB7AB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有节水措施0.5分</w:t>
            </w:r>
          </w:p>
          <w:p w14:paraId="3AADDA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有节水数据0.5分</w:t>
            </w:r>
          </w:p>
          <w:p w14:paraId="516A3D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0D64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73E7966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1B7DFCC4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45AF788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6DB3C7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水资源消耗总量</w:t>
            </w:r>
          </w:p>
        </w:tc>
        <w:tc>
          <w:tcPr>
            <w:tcW w:w="651" w:type="dxa"/>
            <w:vAlign w:val="center"/>
          </w:tcPr>
          <w:p w14:paraId="4993BD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50" w:type="dxa"/>
            <w:vAlign w:val="center"/>
          </w:tcPr>
          <w:p w14:paraId="5B452B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237517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7A9ADF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企业经营活动实际消耗的水资源总量，包括常规水与非常规水总量。需明确统计范围</w:t>
            </w:r>
          </w:p>
        </w:tc>
        <w:tc>
          <w:tcPr>
            <w:tcW w:w="3057" w:type="dxa"/>
            <w:vAlign w:val="center"/>
          </w:tcPr>
          <w:p w14:paraId="6AE0C7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有数据：0.3分</w:t>
            </w:r>
          </w:p>
          <w:p w14:paraId="0DC061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有范围说明：0.1分</w:t>
            </w:r>
          </w:p>
          <w:p w14:paraId="68FCA4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有核算说明：0.1分</w:t>
            </w:r>
          </w:p>
          <w:p w14:paraId="766C0E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2DF3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708FB451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5E43E2DF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2D20D9B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2AC51E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水资源消耗强度</w:t>
            </w:r>
          </w:p>
        </w:tc>
        <w:tc>
          <w:tcPr>
            <w:tcW w:w="651" w:type="dxa"/>
            <w:vAlign w:val="center"/>
          </w:tcPr>
          <w:p w14:paraId="13CE80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50" w:type="dxa"/>
            <w:vAlign w:val="center"/>
          </w:tcPr>
          <w:p w14:paraId="2C9DC9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2F321A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定量</w:t>
            </w:r>
          </w:p>
        </w:tc>
        <w:tc>
          <w:tcPr>
            <w:tcW w:w="5230" w:type="dxa"/>
            <w:vAlign w:val="center"/>
          </w:tcPr>
          <w:p w14:paraId="47BE61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水资源消耗强度=水资源消耗总量/百万营收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或在管物业面积</w:t>
            </w:r>
          </w:p>
        </w:tc>
        <w:tc>
          <w:tcPr>
            <w:tcW w:w="3057" w:type="dxa"/>
            <w:vAlign w:val="center"/>
          </w:tcPr>
          <w:p w14:paraId="65A417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有：按当年行业基准值区间赋分</w:t>
            </w:r>
          </w:p>
          <w:p w14:paraId="694A5F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325F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16367498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3290DE64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68FB3D1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00534A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水资源重复利用</w:t>
            </w:r>
          </w:p>
        </w:tc>
        <w:tc>
          <w:tcPr>
            <w:tcW w:w="651" w:type="dxa"/>
            <w:vAlign w:val="center"/>
          </w:tcPr>
          <w:p w14:paraId="77E7E5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650" w:type="dxa"/>
            <w:vAlign w:val="center"/>
          </w:tcPr>
          <w:p w14:paraId="4D2BEF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24EBA50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2E2CF2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在水资源重复利用方面所采取的措施及成效，包括循环利用、一水多用等。可以披露水资源重复利用率，水资源重复利用率=重复利用水量/水资源消耗总量</w:t>
            </w:r>
          </w:p>
        </w:tc>
        <w:tc>
          <w:tcPr>
            <w:tcW w:w="3057" w:type="dxa"/>
            <w:vAlign w:val="center"/>
          </w:tcPr>
          <w:p w14:paraId="44733F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有措施：0.25分</w:t>
            </w:r>
          </w:p>
          <w:p w14:paraId="1A7823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有数据：0.25分</w:t>
            </w:r>
          </w:p>
          <w:p w14:paraId="11AA67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1F35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5D1589A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765B8173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生物多样性</w:t>
            </w:r>
          </w:p>
          <w:p w14:paraId="1308DD15">
            <w:pPr>
              <w:spacing w:line="240" w:lineRule="auto"/>
              <w:ind w:left="0" w:leftChars="0" w:firstLine="0" w:firstLineChars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（1分）</w:t>
            </w:r>
          </w:p>
        </w:tc>
        <w:tc>
          <w:tcPr>
            <w:tcW w:w="843" w:type="dxa"/>
            <w:vMerge w:val="restart"/>
            <w:vAlign w:val="center"/>
          </w:tcPr>
          <w:p w14:paraId="155263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生态系统维护</w:t>
            </w:r>
          </w:p>
        </w:tc>
        <w:tc>
          <w:tcPr>
            <w:tcW w:w="1142" w:type="dxa"/>
            <w:vAlign w:val="center"/>
          </w:tcPr>
          <w:p w14:paraId="1517E5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生态系统与运营区域  </w:t>
            </w:r>
          </w:p>
        </w:tc>
        <w:tc>
          <w:tcPr>
            <w:tcW w:w="651" w:type="dxa"/>
            <w:vAlign w:val="center"/>
          </w:tcPr>
          <w:p w14:paraId="5691C9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650" w:type="dxa"/>
            <w:vAlign w:val="center"/>
          </w:tcPr>
          <w:p w14:paraId="372DAF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13BC57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323BBB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识别并记录受生产经营活动影响的生态系统；并对生物多样性重要区域内或附近的运营区域进行统计，包括位置、数量等关键信息</w:t>
            </w:r>
          </w:p>
        </w:tc>
        <w:tc>
          <w:tcPr>
            <w:tcW w:w="3057" w:type="dxa"/>
            <w:vAlign w:val="center"/>
          </w:tcPr>
          <w:p w14:paraId="520F26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77DF44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119C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AC47D2C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3049F2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32285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0E2408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生态环境修复</w:t>
            </w:r>
          </w:p>
        </w:tc>
        <w:tc>
          <w:tcPr>
            <w:tcW w:w="651" w:type="dxa"/>
            <w:vAlign w:val="center"/>
          </w:tcPr>
          <w:p w14:paraId="663FB7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50" w:type="dxa"/>
            <w:vAlign w:val="center"/>
          </w:tcPr>
          <w:p w14:paraId="02E11D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2255B0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7D6270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在绿化植被维护、生态廊道建设等生态环境保护与修复方面采取的措施与取得的成效</w:t>
            </w:r>
          </w:p>
        </w:tc>
        <w:tc>
          <w:tcPr>
            <w:tcW w:w="3057" w:type="dxa"/>
            <w:vAlign w:val="center"/>
          </w:tcPr>
          <w:p w14:paraId="5B8093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有措施：0.3分</w:t>
            </w:r>
          </w:p>
          <w:p w14:paraId="524CBC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有成效：0.2分</w:t>
            </w:r>
          </w:p>
          <w:p w14:paraId="15E6F2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</w:tbl>
    <w:p w14:paraId="7FC23DDA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</w:pPr>
    </w:p>
    <w:p w14:paraId="47FEBD5C">
      <w:pPr>
        <w:ind w:left="0" w:leftChars="0" w:firstLine="0" w:firstLineChars="0"/>
        <w:jc w:val="center"/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5230"/>
        <w:gridCol w:w="3057"/>
      </w:tblGrid>
      <w:tr w14:paraId="25A8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7256BD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261FA7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582A43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4396C6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1B46EE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5117CA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6DE6A3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100A48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36140C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56CA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5AA744BF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环境</w:t>
            </w:r>
          </w:p>
          <w:p w14:paraId="6E10B446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（27分）</w:t>
            </w:r>
          </w:p>
        </w:tc>
        <w:tc>
          <w:tcPr>
            <w:tcW w:w="786" w:type="dxa"/>
            <w:vMerge w:val="restart"/>
            <w:vAlign w:val="center"/>
          </w:tcPr>
          <w:p w14:paraId="210BE4B5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垃圾与废水处理</w:t>
            </w:r>
          </w:p>
          <w:p w14:paraId="60670688">
            <w:pPr>
              <w:spacing w:line="240" w:lineRule="auto"/>
              <w:ind w:left="0" w:leftChars="0" w:firstLine="0" w:firstLineChars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（3.5分）</w:t>
            </w:r>
          </w:p>
        </w:tc>
        <w:tc>
          <w:tcPr>
            <w:tcW w:w="843" w:type="dxa"/>
            <w:vMerge w:val="restart"/>
            <w:vAlign w:val="center"/>
          </w:tcPr>
          <w:p w14:paraId="7773210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垃圾处理</w:t>
            </w:r>
          </w:p>
        </w:tc>
        <w:tc>
          <w:tcPr>
            <w:tcW w:w="1142" w:type="dxa"/>
            <w:vAlign w:val="center"/>
          </w:tcPr>
          <w:p w14:paraId="75803C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垃圾分类与管理</w:t>
            </w:r>
          </w:p>
        </w:tc>
        <w:tc>
          <w:tcPr>
            <w:tcW w:w="651" w:type="dxa"/>
            <w:vAlign w:val="center"/>
          </w:tcPr>
          <w:p w14:paraId="3958B1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650" w:type="dxa"/>
            <w:vAlign w:val="center"/>
          </w:tcPr>
          <w:p w14:paraId="5C8AF2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4E2034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248698E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在垃圾分类标准与设施配置、分类收集与存储、运输与处理衔接等方面实施的制度、开展的措施及取得的成效</w:t>
            </w:r>
          </w:p>
        </w:tc>
        <w:tc>
          <w:tcPr>
            <w:tcW w:w="3057" w:type="dxa"/>
            <w:vAlign w:val="center"/>
          </w:tcPr>
          <w:p w14:paraId="21859B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有制度：0.2分</w:t>
            </w:r>
          </w:p>
          <w:p w14:paraId="47869D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有措施：0.2分</w:t>
            </w:r>
          </w:p>
          <w:p w14:paraId="5073AE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有成效：0.1分</w:t>
            </w:r>
          </w:p>
          <w:p w14:paraId="39B7A0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3F56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C5DA969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6D42F18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F97A9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3295C1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垃圾回收利用</w:t>
            </w:r>
          </w:p>
        </w:tc>
        <w:tc>
          <w:tcPr>
            <w:tcW w:w="651" w:type="dxa"/>
            <w:vAlign w:val="center"/>
          </w:tcPr>
          <w:p w14:paraId="2DEE85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000575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60BE2E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090EA6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垃圾回收利用的措施，包括但不限于回收品类与数量、大件垃圾处理方式、就地处理情况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等以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及专项活动成果情况</w:t>
            </w:r>
          </w:p>
        </w:tc>
        <w:tc>
          <w:tcPr>
            <w:tcW w:w="3057" w:type="dxa"/>
            <w:vAlign w:val="center"/>
          </w:tcPr>
          <w:p w14:paraId="5448AA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有措施：0.5分</w:t>
            </w:r>
          </w:p>
          <w:p w14:paraId="117B1E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有成效：0.5分</w:t>
            </w:r>
          </w:p>
          <w:p w14:paraId="00B0BF3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25C2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104D0398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C7CA9C5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621E4E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512C1EB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垃圾处理量</w:t>
            </w:r>
          </w:p>
        </w:tc>
        <w:tc>
          <w:tcPr>
            <w:tcW w:w="651" w:type="dxa"/>
            <w:vAlign w:val="center"/>
          </w:tcPr>
          <w:p w14:paraId="10035E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650" w:type="dxa"/>
            <w:vAlign w:val="center"/>
          </w:tcPr>
          <w:p w14:paraId="02F8EB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00C01E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0BC515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在报告期内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，披露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处理的垃圾总量，以吨为单位</w:t>
            </w:r>
          </w:p>
        </w:tc>
        <w:tc>
          <w:tcPr>
            <w:tcW w:w="3057" w:type="dxa"/>
            <w:vAlign w:val="center"/>
          </w:tcPr>
          <w:p w14:paraId="20E3F0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77424F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6FD0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71A03E74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5ECB885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4A71BD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废水处理</w:t>
            </w:r>
          </w:p>
        </w:tc>
        <w:tc>
          <w:tcPr>
            <w:tcW w:w="1142" w:type="dxa"/>
            <w:vAlign w:val="center"/>
          </w:tcPr>
          <w:p w14:paraId="7C1895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废水处理方式</w:t>
            </w:r>
          </w:p>
        </w:tc>
        <w:tc>
          <w:tcPr>
            <w:tcW w:w="651" w:type="dxa"/>
            <w:vAlign w:val="center"/>
          </w:tcPr>
          <w:p w14:paraId="1E85A8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650" w:type="dxa"/>
            <w:vAlign w:val="center"/>
          </w:tcPr>
          <w:p w14:paraId="70DD2E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7FFBBB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7CB668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在物业管理区域内产生的各类污水，在排入城市公共污水管网或自然水体前，所采取的预处理或处理的技术与管理措施</w:t>
            </w:r>
          </w:p>
        </w:tc>
        <w:tc>
          <w:tcPr>
            <w:tcW w:w="3057" w:type="dxa"/>
            <w:vAlign w:val="center"/>
          </w:tcPr>
          <w:p w14:paraId="275AA0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043A34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1610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3749847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78AFFE8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D8A83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084A7B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废水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排放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量</w:t>
            </w:r>
          </w:p>
        </w:tc>
        <w:tc>
          <w:tcPr>
            <w:tcW w:w="651" w:type="dxa"/>
            <w:vAlign w:val="center"/>
          </w:tcPr>
          <w:p w14:paraId="4848CE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650" w:type="dxa"/>
            <w:vAlign w:val="center"/>
          </w:tcPr>
          <w:p w14:paraId="4C0E0B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467D05E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610B53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在报告期内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，披露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排放的废水总量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以立方米或千升为单位</w:t>
            </w:r>
          </w:p>
        </w:tc>
        <w:tc>
          <w:tcPr>
            <w:tcW w:w="3057" w:type="dxa"/>
            <w:vAlign w:val="center"/>
          </w:tcPr>
          <w:p w14:paraId="6F7A05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3E0269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44D7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4FA2AD93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</w:t>
            </w:r>
          </w:p>
          <w:p w14:paraId="5E8E1155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（34.5分）</w:t>
            </w:r>
          </w:p>
        </w:tc>
        <w:tc>
          <w:tcPr>
            <w:tcW w:w="786" w:type="dxa"/>
            <w:vMerge w:val="restart"/>
            <w:vAlign w:val="center"/>
          </w:tcPr>
          <w:p w14:paraId="4F8D62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员工责任</w:t>
            </w:r>
          </w:p>
          <w:p w14:paraId="327A06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（12.5分）</w:t>
            </w:r>
          </w:p>
        </w:tc>
        <w:tc>
          <w:tcPr>
            <w:tcW w:w="843" w:type="dxa"/>
            <w:vMerge w:val="restart"/>
            <w:vAlign w:val="center"/>
          </w:tcPr>
          <w:p w14:paraId="57B1DE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平等雇佣与多元化</w:t>
            </w:r>
          </w:p>
        </w:tc>
        <w:tc>
          <w:tcPr>
            <w:tcW w:w="1142" w:type="dxa"/>
            <w:vAlign w:val="center"/>
          </w:tcPr>
          <w:p w14:paraId="61FED6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新雇佣员工数</w:t>
            </w:r>
          </w:p>
        </w:tc>
        <w:tc>
          <w:tcPr>
            <w:tcW w:w="651" w:type="dxa"/>
            <w:vAlign w:val="center"/>
          </w:tcPr>
          <w:p w14:paraId="6BF063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650" w:type="dxa"/>
            <w:vAlign w:val="center"/>
          </w:tcPr>
          <w:p w14:paraId="5FE80F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6EE5F5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34C079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报告期内，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披露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企业吸纳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新员工数量</w:t>
            </w:r>
          </w:p>
        </w:tc>
        <w:tc>
          <w:tcPr>
            <w:tcW w:w="3057" w:type="dxa"/>
            <w:vAlign w:val="center"/>
          </w:tcPr>
          <w:p w14:paraId="602293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4FF9F9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4E66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39656DF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D3275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B5717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3FC50E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员工总数</w:t>
            </w:r>
          </w:p>
        </w:tc>
        <w:tc>
          <w:tcPr>
            <w:tcW w:w="651" w:type="dxa"/>
            <w:vAlign w:val="center"/>
          </w:tcPr>
          <w:p w14:paraId="6311A0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650" w:type="dxa"/>
            <w:vAlign w:val="center"/>
          </w:tcPr>
          <w:p w14:paraId="70FD2D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6CB5BB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66121D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报告期内，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披露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企业雇佣员工总数</w:t>
            </w:r>
          </w:p>
        </w:tc>
        <w:tc>
          <w:tcPr>
            <w:tcW w:w="3057" w:type="dxa"/>
            <w:vAlign w:val="center"/>
          </w:tcPr>
          <w:p w14:paraId="67F366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0385E3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3E85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548BA9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566CFBC8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81FCB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206EC0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在职员工构成情况</w:t>
            </w:r>
          </w:p>
        </w:tc>
        <w:tc>
          <w:tcPr>
            <w:tcW w:w="651" w:type="dxa"/>
            <w:vAlign w:val="center"/>
          </w:tcPr>
          <w:p w14:paraId="7679288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650" w:type="dxa"/>
            <w:vAlign w:val="center"/>
          </w:tcPr>
          <w:p w14:paraId="3BECC9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094BDC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49FE9A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报告期内，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披露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企业员工的性别、年龄、学历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、地域、民族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等构成情况</w:t>
            </w:r>
          </w:p>
        </w:tc>
        <w:tc>
          <w:tcPr>
            <w:tcW w:w="3057" w:type="dxa"/>
            <w:vAlign w:val="center"/>
          </w:tcPr>
          <w:p w14:paraId="70FB24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有：披露三项及以上0.5分，每少一项扣0.1分</w:t>
            </w:r>
          </w:p>
          <w:p w14:paraId="7DC0FD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</w:tbl>
    <w:p w14:paraId="7A75C793"/>
    <w:p w14:paraId="415CF5CF">
      <w:pPr>
        <w:ind w:left="0" w:leftChars="0" w:firstLine="0" w:firstLineChars="0"/>
        <w:jc w:val="center"/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5230"/>
        <w:gridCol w:w="3057"/>
      </w:tblGrid>
      <w:tr w14:paraId="1794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77EBE1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195B66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5D4B0B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5035BA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3F09F6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041EA6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3B4900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72898B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05E0F5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5755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50C96B93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</w:t>
            </w:r>
          </w:p>
          <w:p w14:paraId="57059A88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（34.5分）</w:t>
            </w:r>
          </w:p>
        </w:tc>
        <w:tc>
          <w:tcPr>
            <w:tcW w:w="786" w:type="dxa"/>
            <w:vMerge w:val="restart"/>
            <w:vAlign w:val="center"/>
          </w:tcPr>
          <w:p w14:paraId="0A9C34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员工责任</w:t>
            </w:r>
          </w:p>
          <w:p w14:paraId="37F5384E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（12.5分）</w:t>
            </w:r>
          </w:p>
        </w:tc>
        <w:tc>
          <w:tcPr>
            <w:tcW w:w="843" w:type="dxa"/>
            <w:vAlign w:val="center"/>
          </w:tcPr>
          <w:p w14:paraId="3B6CF3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平等雇佣与多元化</w:t>
            </w:r>
          </w:p>
        </w:tc>
        <w:tc>
          <w:tcPr>
            <w:tcW w:w="1142" w:type="dxa"/>
            <w:vAlign w:val="center"/>
          </w:tcPr>
          <w:p w14:paraId="5FD409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员工流失率</w:t>
            </w:r>
          </w:p>
        </w:tc>
        <w:tc>
          <w:tcPr>
            <w:tcW w:w="651" w:type="dxa"/>
            <w:vAlign w:val="center"/>
          </w:tcPr>
          <w:p w14:paraId="710A81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650" w:type="dxa"/>
            <w:vAlign w:val="center"/>
          </w:tcPr>
          <w:p w14:paraId="2C9EBD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5EBBDFE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定量</w:t>
            </w:r>
          </w:p>
        </w:tc>
        <w:tc>
          <w:tcPr>
            <w:tcW w:w="5230" w:type="dxa"/>
            <w:vAlign w:val="center"/>
          </w:tcPr>
          <w:p w14:paraId="3FA62E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员工流失率=员工流失数量/（期初人数+期末人数）/2）*100%</w:t>
            </w:r>
          </w:p>
        </w:tc>
        <w:tc>
          <w:tcPr>
            <w:tcW w:w="3057" w:type="dxa"/>
            <w:vAlign w:val="center"/>
          </w:tcPr>
          <w:p w14:paraId="561C57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有：按当年行业基准值区间赋分</w:t>
            </w:r>
          </w:p>
          <w:p w14:paraId="552C62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4C3C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Merge w:val="continue"/>
            <w:vAlign w:val="center"/>
          </w:tcPr>
          <w:p w14:paraId="030A05A8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536883C6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123AC4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职业健康安全管理</w:t>
            </w:r>
          </w:p>
        </w:tc>
        <w:tc>
          <w:tcPr>
            <w:tcW w:w="1142" w:type="dxa"/>
            <w:vAlign w:val="center"/>
          </w:tcPr>
          <w:p w14:paraId="64EFE8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职业健康与安全管理制度与体系</w:t>
            </w:r>
          </w:p>
        </w:tc>
        <w:tc>
          <w:tcPr>
            <w:tcW w:w="651" w:type="dxa"/>
            <w:vAlign w:val="center"/>
          </w:tcPr>
          <w:p w14:paraId="362C7B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650" w:type="dxa"/>
            <w:vAlign w:val="center"/>
          </w:tcPr>
          <w:p w14:paraId="6BAD06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4BFB1E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39B267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按GB/T 45001或ISO 45001建立并运行职业健康安全管理体系情况。应说明职业健康安全管理体系覆盖的工作场所、工作者以及活动和操作范围。如果有任何工作场所、工作者以及活动和操作未被职业健康安全管理体系覆盖，企业应明确指出这些例外情况，并解释未覆盖的原因</w:t>
            </w:r>
          </w:p>
        </w:tc>
        <w:tc>
          <w:tcPr>
            <w:tcW w:w="3057" w:type="dxa"/>
            <w:vAlign w:val="center"/>
          </w:tcPr>
          <w:p w14:paraId="4505BD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有企业内部职业健康安全管理相关制度文件：0.5分</w:t>
            </w:r>
          </w:p>
          <w:p w14:paraId="6D6DB0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有职业健康安全管理体系相关认证证书：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0.5分</w:t>
            </w:r>
          </w:p>
          <w:p w14:paraId="3480BE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42DA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794" w:type="dxa"/>
            <w:vMerge w:val="continue"/>
            <w:vAlign w:val="center"/>
          </w:tcPr>
          <w:p w14:paraId="647CD476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E4FDC98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12AB0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1F46AE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职业健康安全投入</w:t>
            </w:r>
          </w:p>
        </w:tc>
        <w:tc>
          <w:tcPr>
            <w:tcW w:w="651" w:type="dxa"/>
            <w:vAlign w:val="center"/>
          </w:tcPr>
          <w:p w14:paraId="589768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650" w:type="dxa"/>
            <w:vAlign w:val="center"/>
          </w:tcPr>
          <w:p w14:paraId="3FEAE03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24A934B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5A3D49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职业健康安全总投入=职业健康服务投入+职业健康安全培训投入+健康促进活动投入+预防和减轻职业健康安全影响投入，可分别报告上述种类投入金额及总金额</w:t>
            </w:r>
          </w:p>
        </w:tc>
        <w:tc>
          <w:tcPr>
            <w:tcW w:w="3057" w:type="dxa"/>
            <w:vAlign w:val="center"/>
          </w:tcPr>
          <w:p w14:paraId="770294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002B19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214E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3CD6445F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A3C8565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C2C17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074C68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职业健康安全培训</w:t>
            </w:r>
          </w:p>
        </w:tc>
        <w:tc>
          <w:tcPr>
            <w:tcW w:w="651" w:type="dxa"/>
            <w:vAlign w:val="center"/>
          </w:tcPr>
          <w:p w14:paraId="781B580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650" w:type="dxa"/>
            <w:vAlign w:val="center"/>
          </w:tcPr>
          <w:p w14:paraId="446714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011BFE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4C9697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职业健康安全培训覆盖人数、总时长及人均时长</w:t>
            </w:r>
          </w:p>
        </w:tc>
        <w:tc>
          <w:tcPr>
            <w:tcW w:w="3057" w:type="dxa"/>
            <w:vAlign w:val="center"/>
          </w:tcPr>
          <w:p w14:paraId="1504D7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10A7092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2E18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4" w:type="dxa"/>
            <w:vMerge w:val="continue"/>
            <w:vAlign w:val="center"/>
          </w:tcPr>
          <w:p w14:paraId="34952941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3BA6EF4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DC686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7EC6DA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员工心理健康支持</w:t>
            </w:r>
          </w:p>
        </w:tc>
        <w:tc>
          <w:tcPr>
            <w:tcW w:w="651" w:type="dxa"/>
            <w:vAlign w:val="center"/>
          </w:tcPr>
          <w:p w14:paraId="2DC779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650" w:type="dxa"/>
            <w:vAlign w:val="center"/>
          </w:tcPr>
          <w:p w14:paraId="30022EA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481C97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391CA6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针对员工开展的心理援助计划、心理健康咨询通道、心理健康培训或压力管理活动等情况</w:t>
            </w:r>
          </w:p>
        </w:tc>
        <w:tc>
          <w:tcPr>
            <w:tcW w:w="3057" w:type="dxa"/>
            <w:vAlign w:val="center"/>
          </w:tcPr>
          <w:p w14:paraId="52C70B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2FFAB9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20DA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1E6B686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D92618C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589FE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12E8DA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工伤次数</w:t>
            </w:r>
          </w:p>
        </w:tc>
        <w:tc>
          <w:tcPr>
            <w:tcW w:w="651" w:type="dxa"/>
            <w:vAlign w:val="center"/>
          </w:tcPr>
          <w:p w14:paraId="7CAB77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650" w:type="dxa"/>
            <w:vAlign w:val="center"/>
          </w:tcPr>
          <w:p w14:paraId="0036C9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6FBE8F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1BAB6D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报告期内，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企业工伤事件总量，统计范围应包括全部工作人员（包括为企业提供服务的外包人员，并说明工伤的主要类型。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057" w:type="dxa"/>
            <w:vAlign w:val="center"/>
          </w:tcPr>
          <w:p w14:paraId="01ADE2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7F96D7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</w:tbl>
    <w:p w14:paraId="10512080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</w:pPr>
    </w:p>
    <w:p w14:paraId="24FE5C3F">
      <w:pPr>
        <w:ind w:left="0" w:leftChars="0" w:firstLine="0" w:firstLineChars="0"/>
        <w:jc w:val="center"/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5230"/>
        <w:gridCol w:w="3057"/>
      </w:tblGrid>
      <w:tr w14:paraId="711F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65393D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742C96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11324C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36C077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7F14B7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56BFEA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131E5A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7EBF7C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673CDC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0148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2C6BAA93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</w:t>
            </w:r>
          </w:p>
          <w:p w14:paraId="5C3DE89F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（34.5分）</w:t>
            </w:r>
          </w:p>
        </w:tc>
        <w:tc>
          <w:tcPr>
            <w:tcW w:w="786" w:type="dxa"/>
            <w:vMerge w:val="restart"/>
            <w:vAlign w:val="center"/>
          </w:tcPr>
          <w:p w14:paraId="3790A06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员工责任</w:t>
            </w:r>
          </w:p>
          <w:p w14:paraId="4B10ED52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（12.5分）</w:t>
            </w:r>
          </w:p>
        </w:tc>
        <w:tc>
          <w:tcPr>
            <w:tcW w:w="843" w:type="dxa"/>
            <w:vMerge w:val="restart"/>
            <w:vAlign w:val="center"/>
          </w:tcPr>
          <w:p w14:paraId="116F8E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职业健康安全管理</w:t>
            </w:r>
          </w:p>
        </w:tc>
        <w:tc>
          <w:tcPr>
            <w:tcW w:w="1142" w:type="dxa"/>
            <w:vAlign w:val="center"/>
          </w:tcPr>
          <w:p w14:paraId="218FE5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工亡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51" w:type="dxa"/>
            <w:vAlign w:val="center"/>
          </w:tcPr>
          <w:p w14:paraId="18C81E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650" w:type="dxa"/>
            <w:vAlign w:val="center"/>
          </w:tcPr>
          <w:p w14:paraId="5C1086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518B05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1DDF27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报告期内，披露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因工死亡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情况，并说明人数</w:t>
            </w:r>
          </w:p>
        </w:tc>
        <w:tc>
          <w:tcPr>
            <w:tcW w:w="3057" w:type="dxa"/>
            <w:vAlign w:val="center"/>
          </w:tcPr>
          <w:p w14:paraId="6C69C0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3623A1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  <w:p w14:paraId="224ECB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F5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54CEBC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7B874DAC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C78FF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17042E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工伤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51" w:type="dxa"/>
            <w:vAlign w:val="center"/>
          </w:tcPr>
          <w:p w14:paraId="50E7FC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650" w:type="dxa"/>
            <w:vAlign w:val="center"/>
          </w:tcPr>
          <w:p w14:paraId="538022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767139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49E1F4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报告期内，披露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因工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受伤情况，并说明人数</w:t>
            </w:r>
          </w:p>
        </w:tc>
        <w:tc>
          <w:tcPr>
            <w:tcW w:w="3057" w:type="dxa"/>
            <w:vAlign w:val="center"/>
          </w:tcPr>
          <w:p w14:paraId="15C31D0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21AABF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  <w:p w14:paraId="0958D8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A7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75490D3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74C1FC4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8D0BC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6329C8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因工伤损失工作小时数</w:t>
            </w:r>
          </w:p>
        </w:tc>
        <w:tc>
          <w:tcPr>
            <w:tcW w:w="651" w:type="dxa"/>
            <w:vAlign w:val="center"/>
          </w:tcPr>
          <w:p w14:paraId="5CDF34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650" w:type="dxa"/>
            <w:vAlign w:val="center"/>
          </w:tcPr>
          <w:p w14:paraId="338E5D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1C93CE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189590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报告期内，披露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员工因工伤治疗、康复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身体限制无法工作或无法全职工作的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小时数</w:t>
            </w:r>
          </w:p>
        </w:tc>
        <w:tc>
          <w:tcPr>
            <w:tcW w:w="3057" w:type="dxa"/>
            <w:vAlign w:val="center"/>
          </w:tcPr>
          <w:p w14:paraId="4749BA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67B7C8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  <w:p w14:paraId="54F810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0C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EFBF6B5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384A3F8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772CDC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权益与福利</w:t>
            </w:r>
          </w:p>
        </w:tc>
        <w:tc>
          <w:tcPr>
            <w:tcW w:w="1142" w:type="dxa"/>
            <w:vAlign w:val="center"/>
          </w:tcPr>
          <w:p w14:paraId="5B802A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权益保障</w:t>
            </w:r>
          </w:p>
        </w:tc>
        <w:tc>
          <w:tcPr>
            <w:tcW w:w="651" w:type="dxa"/>
            <w:vAlign w:val="center"/>
          </w:tcPr>
          <w:p w14:paraId="464513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650" w:type="dxa"/>
            <w:vAlign w:val="center"/>
          </w:tcPr>
          <w:p w14:paraId="57A5F8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49C7D0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58F5F9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员工招聘录用的基本原则和权益，以及在依法签订劳动合同、缴纳社保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方面的制度措施</w:t>
            </w:r>
          </w:p>
        </w:tc>
        <w:tc>
          <w:tcPr>
            <w:tcW w:w="3057" w:type="dxa"/>
            <w:vAlign w:val="center"/>
          </w:tcPr>
          <w:p w14:paraId="373A3E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3BF619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67BD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74834746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50E91F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B5A9D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17D7A0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福利待遇</w:t>
            </w:r>
          </w:p>
        </w:tc>
        <w:tc>
          <w:tcPr>
            <w:tcW w:w="651" w:type="dxa"/>
            <w:vAlign w:val="center"/>
          </w:tcPr>
          <w:p w14:paraId="4B684E0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650" w:type="dxa"/>
            <w:vAlign w:val="center"/>
          </w:tcPr>
          <w:p w14:paraId="2DF611E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6AF7FF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7FCD8BA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提供给全体员工（不包括临时或兼职员工）的福利，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如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五险一金、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商业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保险、带薪假、产假及育儿假、退休金等</w:t>
            </w:r>
          </w:p>
        </w:tc>
        <w:tc>
          <w:tcPr>
            <w:tcW w:w="3057" w:type="dxa"/>
            <w:vAlign w:val="center"/>
          </w:tcPr>
          <w:p w14:paraId="46868C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5E2927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4745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68EA14A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731A3EA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63FB12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技能培训与职业发展</w:t>
            </w:r>
          </w:p>
        </w:tc>
        <w:tc>
          <w:tcPr>
            <w:tcW w:w="1142" w:type="dxa"/>
            <w:vAlign w:val="center"/>
          </w:tcPr>
          <w:p w14:paraId="16B5E5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员工培训体系</w:t>
            </w:r>
          </w:p>
        </w:tc>
        <w:tc>
          <w:tcPr>
            <w:tcW w:w="651" w:type="dxa"/>
            <w:vAlign w:val="center"/>
          </w:tcPr>
          <w:p w14:paraId="203C3F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650" w:type="dxa"/>
            <w:vAlign w:val="center"/>
          </w:tcPr>
          <w:p w14:paraId="70195D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1C6266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7B34BF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针对不同资历、不同岗位、不同技能的员工设立的培训体系情况</w:t>
            </w:r>
          </w:p>
        </w:tc>
        <w:tc>
          <w:tcPr>
            <w:tcW w:w="3057" w:type="dxa"/>
            <w:vAlign w:val="center"/>
          </w:tcPr>
          <w:p w14:paraId="716405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060407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1F4A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5DCFFDFF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6C2727EA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4F310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5A5AEA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员工职业成长体系</w:t>
            </w:r>
          </w:p>
        </w:tc>
        <w:tc>
          <w:tcPr>
            <w:tcW w:w="651" w:type="dxa"/>
            <w:vAlign w:val="center"/>
          </w:tcPr>
          <w:p w14:paraId="076FB7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650" w:type="dxa"/>
            <w:vAlign w:val="center"/>
          </w:tcPr>
          <w:p w14:paraId="079CF9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1B3F24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13626F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企业职位体系设置情况，员工晋升、选拔与职业发展机制</w:t>
            </w:r>
          </w:p>
        </w:tc>
        <w:tc>
          <w:tcPr>
            <w:tcW w:w="3057" w:type="dxa"/>
            <w:vAlign w:val="center"/>
          </w:tcPr>
          <w:p w14:paraId="3DD6F5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4F9E1F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</w:tbl>
    <w:p w14:paraId="1A40E5AA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</w:pPr>
    </w:p>
    <w:p w14:paraId="0036C6FF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</w:pPr>
    </w:p>
    <w:p w14:paraId="0AA49FD8">
      <w:pPr>
        <w:ind w:left="0" w:leftChars="0" w:firstLine="0" w:firstLineChars="0"/>
        <w:jc w:val="center"/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966"/>
        <w:gridCol w:w="1078"/>
        <w:gridCol w:w="666"/>
        <w:gridCol w:w="656"/>
        <w:gridCol w:w="819"/>
        <w:gridCol w:w="5230"/>
        <w:gridCol w:w="3057"/>
      </w:tblGrid>
      <w:tr w14:paraId="32F0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3139E6A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3B4B15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66" w:type="dxa"/>
            <w:shd w:val="clear" w:color="auto" w:fill="D7D7D7" w:themeFill="background1" w:themeFillShade="D8"/>
            <w:vAlign w:val="center"/>
          </w:tcPr>
          <w:p w14:paraId="51BF0B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  <w:p w14:paraId="235EFE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078" w:type="dxa"/>
            <w:shd w:val="clear" w:color="auto" w:fill="D7D7D7" w:themeFill="background1" w:themeFillShade="D8"/>
            <w:vAlign w:val="center"/>
          </w:tcPr>
          <w:p w14:paraId="6FE6CF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  <w:p w14:paraId="55D697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666" w:type="dxa"/>
            <w:shd w:val="clear" w:color="auto" w:fill="D7D7D7" w:themeFill="background1" w:themeFillShade="D8"/>
            <w:vAlign w:val="center"/>
          </w:tcPr>
          <w:p w14:paraId="07EFE5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dxa"/>
            <w:shd w:val="clear" w:color="auto" w:fill="D7D7D7" w:themeFill="background1" w:themeFillShade="D8"/>
            <w:vAlign w:val="center"/>
          </w:tcPr>
          <w:p w14:paraId="07A143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19" w:type="dxa"/>
            <w:shd w:val="clear" w:color="auto" w:fill="D7D7D7" w:themeFill="background1" w:themeFillShade="D8"/>
            <w:vAlign w:val="center"/>
          </w:tcPr>
          <w:p w14:paraId="7EBF16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4F2A53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75E1F9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3DEA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4" w:type="dxa"/>
            <w:vMerge w:val="restart"/>
            <w:vAlign w:val="center"/>
          </w:tcPr>
          <w:p w14:paraId="10940A54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</w:t>
            </w:r>
          </w:p>
          <w:p w14:paraId="1BA9E097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（34.5分）</w:t>
            </w:r>
          </w:p>
        </w:tc>
        <w:tc>
          <w:tcPr>
            <w:tcW w:w="786" w:type="dxa"/>
            <w:vMerge w:val="restart"/>
            <w:vAlign w:val="center"/>
          </w:tcPr>
          <w:p w14:paraId="261EC9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员工责任</w:t>
            </w:r>
          </w:p>
          <w:p w14:paraId="68C994E6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（12.5分）</w:t>
            </w:r>
          </w:p>
        </w:tc>
        <w:tc>
          <w:tcPr>
            <w:tcW w:w="966" w:type="dxa"/>
            <w:vMerge w:val="restart"/>
            <w:vAlign w:val="center"/>
          </w:tcPr>
          <w:p w14:paraId="31BFAD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技能培训与职业发展</w:t>
            </w:r>
          </w:p>
        </w:tc>
        <w:tc>
          <w:tcPr>
            <w:tcW w:w="1078" w:type="dxa"/>
            <w:vAlign w:val="center"/>
          </w:tcPr>
          <w:p w14:paraId="581AC2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培训总投入</w:t>
            </w:r>
          </w:p>
        </w:tc>
        <w:tc>
          <w:tcPr>
            <w:tcW w:w="666" w:type="dxa"/>
            <w:vAlign w:val="center"/>
          </w:tcPr>
          <w:p w14:paraId="0759F1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dxa"/>
            <w:vAlign w:val="center"/>
          </w:tcPr>
          <w:p w14:paraId="340101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19" w:type="dxa"/>
            <w:vAlign w:val="center"/>
          </w:tcPr>
          <w:p w14:paraId="49AB70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2D26CD0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员工培训总投入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3057" w:type="dxa"/>
            <w:vAlign w:val="center"/>
          </w:tcPr>
          <w:p w14:paraId="4A7A19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41E4D7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60BD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4" w:type="dxa"/>
            <w:vMerge w:val="continue"/>
            <w:vAlign w:val="center"/>
          </w:tcPr>
          <w:p w14:paraId="7D4451B3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257225E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13BFFB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Align w:val="center"/>
          </w:tcPr>
          <w:p w14:paraId="416D49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人均培训时长</w:t>
            </w:r>
          </w:p>
        </w:tc>
        <w:tc>
          <w:tcPr>
            <w:tcW w:w="666" w:type="dxa"/>
            <w:vAlign w:val="center"/>
          </w:tcPr>
          <w:p w14:paraId="3A715C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dxa"/>
            <w:vAlign w:val="center"/>
          </w:tcPr>
          <w:p w14:paraId="357E88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19" w:type="dxa"/>
            <w:vAlign w:val="center"/>
          </w:tcPr>
          <w:p w14:paraId="3DB685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定量</w:t>
            </w:r>
          </w:p>
        </w:tc>
        <w:tc>
          <w:tcPr>
            <w:tcW w:w="5230" w:type="dxa"/>
            <w:vAlign w:val="center"/>
          </w:tcPr>
          <w:p w14:paraId="3691A2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人均培训时长=提供给员工的培训总小时数/员工总数</w:t>
            </w:r>
          </w:p>
        </w:tc>
        <w:tc>
          <w:tcPr>
            <w:tcW w:w="3057" w:type="dxa"/>
            <w:vAlign w:val="center"/>
          </w:tcPr>
          <w:p w14:paraId="2FA2DA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有：按当年行业基准值区间赋分</w:t>
            </w:r>
          </w:p>
          <w:p w14:paraId="3BDB17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39CC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9D38670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6B835766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服务与创新</w:t>
            </w:r>
          </w:p>
          <w:p w14:paraId="11B3411A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（13.5分）</w:t>
            </w:r>
          </w:p>
        </w:tc>
        <w:tc>
          <w:tcPr>
            <w:tcW w:w="966" w:type="dxa"/>
            <w:vMerge w:val="restart"/>
            <w:vAlign w:val="center"/>
          </w:tcPr>
          <w:p w14:paraId="232821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智慧物业</w:t>
            </w:r>
          </w:p>
        </w:tc>
        <w:tc>
          <w:tcPr>
            <w:tcW w:w="1078" w:type="dxa"/>
            <w:vAlign w:val="center"/>
          </w:tcPr>
          <w:p w14:paraId="040D72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基础建设</w:t>
            </w:r>
          </w:p>
        </w:tc>
        <w:tc>
          <w:tcPr>
            <w:tcW w:w="666" w:type="dxa"/>
            <w:vAlign w:val="center"/>
          </w:tcPr>
          <w:p w14:paraId="68921D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dxa"/>
            <w:vAlign w:val="center"/>
          </w:tcPr>
          <w:p w14:paraId="03013B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19" w:type="dxa"/>
            <w:vAlign w:val="center"/>
          </w:tcPr>
          <w:p w14:paraId="414A99B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699573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智慧物业系统的建设情况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覆盖情况</w:t>
            </w:r>
          </w:p>
        </w:tc>
        <w:tc>
          <w:tcPr>
            <w:tcW w:w="3057" w:type="dxa"/>
            <w:vAlign w:val="center"/>
          </w:tcPr>
          <w:p w14:paraId="329C09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有智慧物业平台建设情况说明：0.25分</w:t>
            </w:r>
          </w:p>
          <w:p w14:paraId="1B0428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有智能设施覆盖率或可用率：0.25分</w:t>
            </w:r>
          </w:p>
          <w:p w14:paraId="11EE62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1AB2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08F4B549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76F0C8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510CB6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Align w:val="center"/>
          </w:tcPr>
          <w:p w14:paraId="2DCCA3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平均工单响应/处理时间</w:t>
            </w:r>
          </w:p>
        </w:tc>
        <w:tc>
          <w:tcPr>
            <w:tcW w:w="666" w:type="dxa"/>
            <w:vAlign w:val="center"/>
          </w:tcPr>
          <w:p w14:paraId="71A110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dxa"/>
            <w:vAlign w:val="center"/>
          </w:tcPr>
          <w:p w14:paraId="15EDEF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819" w:type="dxa"/>
            <w:vAlign w:val="center"/>
          </w:tcPr>
          <w:p w14:paraId="42D32C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定量</w:t>
            </w:r>
          </w:p>
        </w:tc>
        <w:tc>
          <w:tcPr>
            <w:tcW w:w="5230" w:type="dxa"/>
            <w:vAlign w:val="center"/>
          </w:tcPr>
          <w:p w14:paraId="0F05EF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通过智慧化物业系统提高服务效率的情况，从工单生成到首次响应，以及从生成到最终关闭的平均时间</w:t>
            </w:r>
          </w:p>
        </w:tc>
        <w:tc>
          <w:tcPr>
            <w:tcW w:w="3057" w:type="dxa"/>
            <w:vAlign w:val="center"/>
          </w:tcPr>
          <w:p w14:paraId="17032D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有：按当年行业基准值区间赋分</w:t>
            </w:r>
          </w:p>
          <w:p w14:paraId="33AFED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7BA0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03344FE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4BA72A4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24B60D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Align w:val="center"/>
          </w:tcPr>
          <w:p w14:paraId="03EED5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服务体验</w:t>
            </w:r>
          </w:p>
        </w:tc>
        <w:tc>
          <w:tcPr>
            <w:tcW w:w="666" w:type="dxa"/>
            <w:vAlign w:val="center"/>
          </w:tcPr>
          <w:p w14:paraId="675B5B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dxa"/>
            <w:vAlign w:val="center"/>
          </w:tcPr>
          <w:p w14:paraId="212983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19" w:type="dxa"/>
            <w:vAlign w:val="center"/>
          </w:tcPr>
          <w:p w14:paraId="6E86D4B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36DFEF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通过智慧平台应用，实现业主/用户服务便捷性和满意度的提升情况，可以是感谢信、感言等形式</w:t>
            </w:r>
          </w:p>
        </w:tc>
        <w:tc>
          <w:tcPr>
            <w:tcW w:w="3057" w:type="dxa"/>
            <w:vAlign w:val="center"/>
          </w:tcPr>
          <w:p w14:paraId="00B2C0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4120C5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2454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794" w:type="dxa"/>
            <w:vMerge w:val="continue"/>
            <w:vAlign w:val="center"/>
          </w:tcPr>
          <w:p w14:paraId="324BB5AA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598A9EC0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66" w:type="dxa"/>
            <w:vMerge w:val="restart"/>
            <w:vAlign w:val="center"/>
          </w:tcPr>
          <w:p w14:paraId="0BBAC3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信息安全与隐私</w:t>
            </w:r>
          </w:p>
        </w:tc>
        <w:tc>
          <w:tcPr>
            <w:tcW w:w="1078" w:type="dxa"/>
            <w:vAlign w:val="center"/>
          </w:tcPr>
          <w:p w14:paraId="065704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信息安全管理体系</w:t>
            </w:r>
          </w:p>
        </w:tc>
        <w:tc>
          <w:tcPr>
            <w:tcW w:w="666" w:type="dxa"/>
            <w:vAlign w:val="center"/>
          </w:tcPr>
          <w:p w14:paraId="2448EB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dxa"/>
            <w:vAlign w:val="center"/>
          </w:tcPr>
          <w:p w14:paraId="03056D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dxa"/>
            <w:vAlign w:val="center"/>
          </w:tcPr>
          <w:p w14:paraId="410EE3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7C1EB2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按GB/T 22080/ISO 27001建立并运行信息安全管理体系的情况</w:t>
            </w:r>
          </w:p>
        </w:tc>
        <w:tc>
          <w:tcPr>
            <w:tcW w:w="3057" w:type="dxa"/>
            <w:vAlign w:val="center"/>
          </w:tcPr>
          <w:p w14:paraId="786D73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有企业内部信息安全管理相关制度文件：0.5分</w:t>
            </w:r>
          </w:p>
          <w:p w14:paraId="186153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有信息安全管理体系相关认证证书：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0.5分</w:t>
            </w:r>
          </w:p>
          <w:p w14:paraId="50A494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1272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B113CC8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A3926AF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5CAAD2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Align w:val="center"/>
          </w:tcPr>
          <w:p w14:paraId="35B3BF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业主/租户隐私保护</w:t>
            </w:r>
          </w:p>
        </w:tc>
        <w:tc>
          <w:tcPr>
            <w:tcW w:w="666" w:type="dxa"/>
            <w:vAlign w:val="center"/>
          </w:tcPr>
          <w:p w14:paraId="2374CE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dxa"/>
            <w:vAlign w:val="center"/>
          </w:tcPr>
          <w:p w14:paraId="6813ED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dxa"/>
            <w:vAlign w:val="center"/>
          </w:tcPr>
          <w:p w14:paraId="5D743B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7B08653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客户隐私保护制度体系建设与运行情况</w:t>
            </w:r>
          </w:p>
        </w:tc>
        <w:tc>
          <w:tcPr>
            <w:tcW w:w="3057" w:type="dxa"/>
            <w:vAlign w:val="center"/>
          </w:tcPr>
          <w:p w14:paraId="328132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2FBF7B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</w:tbl>
    <w:p w14:paraId="48FBF80D">
      <w:pPr>
        <w:ind w:left="0" w:leftChars="0" w:firstLine="0" w:firstLineChars="0"/>
        <w:jc w:val="center"/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5230"/>
        <w:gridCol w:w="3057"/>
      </w:tblGrid>
      <w:tr w14:paraId="594D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78D460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74AC0B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1597B5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7149D7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15A058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35EB80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2B707C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238FB4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63FC6F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1789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1BB73AE7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</w:t>
            </w:r>
          </w:p>
          <w:p w14:paraId="485FAE68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（34.5分）</w:t>
            </w:r>
          </w:p>
        </w:tc>
        <w:tc>
          <w:tcPr>
            <w:tcW w:w="786" w:type="dxa"/>
            <w:vMerge w:val="restart"/>
            <w:vAlign w:val="center"/>
          </w:tcPr>
          <w:p w14:paraId="60025629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服务与创新</w:t>
            </w:r>
          </w:p>
          <w:p w14:paraId="4E3637EB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（13.5分）</w:t>
            </w:r>
          </w:p>
        </w:tc>
        <w:tc>
          <w:tcPr>
            <w:tcW w:w="843" w:type="dxa"/>
            <w:vMerge w:val="restart"/>
            <w:vAlign w:val="center"/>
          </w:tcPr>
          <w:p w14:paraId="471812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创新驱动</w:t>
            </w:r>
          </w:p>
        </w:tc>
        <w:tc>
          <w:tcPr>
            <w:tcW w:w="1142" w:type="dxa"/>
            <w:vAlign w:val="center"/>
          </w:tcPr>
          <w:p w14:paraId="4CC4C5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651" w:type="dxa"/>
            <w:vAlign w:val="center"/>
          </w:tcPr>
          <w:p w14:paraId="532376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50" w:type="dxa"/>
            <w:vAlign w:val="center"/>
          </w:tcPr>
          <w:p w14:paraId="45DE03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192AD0E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5DA6F8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研发投入情况</w:t>
            </w:r>
          </w:p>
        </w:tc>
        <w:tc>
          <w:tcPr>
            <w:tcW w:w="3057" w:type="dxa"/>
            <w:vAlign w:val="center"/>
          </w:tcPr>
          <w:p w14:paraId="335FD2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747405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464D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6693997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EF132F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8EAC9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6EE18D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创新成果</w:t>
            </w:r>
          </w:p>
        </w:tc>
        <w:tc>
          <w:tcPr>
            <w:tcW w:w="651" w:type="dxa"/>
            <w:vAlign w:val="center"/>
          </w:tcPr>
          <w:p w14:paraId="108A7E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50" w:type="dxa"/>
            <w:vAlign w:val="center"/>
          </w:tcPr>
          <w:p w14:paraId="4A5308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3ADFA7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631ABD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研发进展及成果、获得的专业资质和重要奖项等，如发明专利申请书、授权书、有效专利数等</w:t>
            </w:r>
          </w:p>
        </w:tc>
        <w:tc>
          <w:tcPr>
            <w:tcW w:w="3057" w:type="dxa"/>
            <w:vAlign w:val="center"/>
          </w:tcPr>
          <w:p w14:paraId="5EA842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6A3386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15F6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598FFA98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7141D22F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D5DE6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6D8BA7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参与行业标准制定</w:t>
            </w:r>
          </w:p>
        </w:tc>
        <w:tc>
          <w:tcPr>
            <w:tcW w:w="651" w:type="dxa"/>
            <w:vAlign w:val="center"/>
          </w:tcPr>
          <w:p w14:paraId="31A88F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50" w:type="dxa"/>
            <w:vAlign w:val="center"/>
          </w:tcPr>
          <w:p w14:paraId="3F3EBF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44474F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674C4F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主导或参与编制的物业服务企业的相关技术/服务/ESG标准情况</w:t>
            </w:r>
          </w:p>
        </w:tc>
        <w:tc>
          <w:tcPr>
            <w:tcW w:w="3057" w:type="dxa"/>
            <w:vAlign w:val="center"/>
          </w:tcPr>
          <w:p w14:paraId="6F8D70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17F7F7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6718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F03754E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B2C9689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06F0FC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公共安全</w:t>
            </w:r>
          </w:p>
        </w:tc>
        <w:tc>
          <w:tcPr>
            <w:tcW w:w="1142" w:type="dxa"/>
            <w:vAlign w:val="center"/>
          </w:tcPr>
          <w:p w14:paraId="60E632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突发事件应急响应机制</w:t>
            </w:r>
          </w:p>
        </w:tc>
        <w:tc>
          <w:tcPr>
            <w:tcW w:w="651" w:type="dxa"/>
            <w:vAlign w:val="center"/>
          </w:tcPr>
          <w:p w14:paraId="1CFA0A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50" w:type="dxa"/>
            <w:vAlign w:val="center"/>
          </w:tcPr>
          <w:p w14:paraId="48C593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0F01B6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64C223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针对自然灾害、公共卫生事件、火灾等建立应急预案，定期组织演练等</w:t>
            </w:r>
          </w:p>
        </w:tc>
        <w:tc>
          <w:tcPr>
            <w:tcW w:w="3057" w:type="dxa"/>
            <w:vAlign w:val="center"/>
          </w:tcPr>
          <w:p w14:paraId="22B8EE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有应急预案：0.5分</w:t>
            </w:r>
          </w:p>
          <w:p w14:paraId="2FF552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有定期演练：0.5分</w:t>
            </w:r>
          </w:p>
          <w:p w14:paraId="681653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5C1B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2B434BC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6921B3E6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04D35E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增值服务与服务创新</w:t>
            </w:r>
          </w:p>
        </w:tc>
        <w:tc>
          <w:tcPr>
            <w:tcW w:w="1142" w:type="dxa"/>
            <w:vAlign w:val="center"/>
          </w:tcPr>
          <w:p w14:paraId="546AAF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“一老一小”服务</w:t>
            </w:r>
          </w:p>
        </w:tc>
        <w:tc>
          <w:tcPr>
            <w:tcW w:w="651" w:type="dxa"/>
            <w:vAlign w:val="center"/>
          </w:tcPr>
          <w:p w14:paraId="6F36E8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50" w:type="dxa"/>
            <w:vAlign w:val="center"/>
          </w:tcPr>
          <w:p w14:paraId="407F02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0AF4AD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1A1A3F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利用自身优势布局养老、托幼产业，积极开展社区养老服务、儿童托管服务的情况</w:t>
            </w:r>
          </w:p>
        </w:tc>
        <w:tc>
          <w:tcPr>
            <w:tcW w:w="3057" w:type="dxa"/>
            <w:vAlign w:val="center"/>
          </w:tcPr>
          <w:p w14:paraId="266145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二者皆有：1分</w:t>
            </w:r>
          </w:p>
          <w:p w14:paraId="26D95C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仅有一项：0.5分</w:t>
            </w:r>
          </w:p>
          <w:p w14:paraId="39099D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6336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1024C5C7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5A0A19A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2082B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6142C9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拓展增值服务</w:t>
            </w:r>
          </w:p>
        </w:tc>
        <w:tc>
          <w:tcPr>
            <w:tcW w:w="651" w:type="dxa"/>
            <w:vAlign w:val="center"/>
          </w:tcPr>
          <w:p w14:paraId="203609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50" w:type="dxa"/>
            <w:vAlign w:val="center"/>
          </w:tcPr>
          <w:p w14:paraId="22F0F2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55BCE9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42255A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通过拓展服务内容、类型、渠道，推动社区便利的同时获取合理收益的情况</w:t>
            </w:r>
          </w:p>
        </w:tc>
        <w:tc>
          <w:tcPr>
            <w:tcW w:w="3057" w:type="dxa"/>
            <w:vAlign w:val="center"/>
          </w:tcPr>
          <w:p w14:paraId="459E22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429379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5E03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5DC2DF66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6FFA9D6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D9C6F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29948A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无障碍环境建设</w:t>
            </w:r>
          </w:p>
        </w:tc>
        <w:tc>
          <w:tcPr>
            <w:tcW w:w="651" w:type="dxa"/>
            <w:vAlign w:val="center"/>
          </w:tcPr>
          <w:p w14:paraId="5FCB6BA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50" w:type="dxa"/>
            <w:vAlign w:val="center"/>
          </w:tcPr>
          <w:p w14:paraId="462380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6649A5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5A3B1D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通过无障碍通道建设、电梯、卫生间等设施建设与维护，打造对残障人士、老年人等特殊群体友好的社区环境的情况</w:t>
            </w:r>
          </w:p>
        </w:tc>
        <w:tc>
          <w:tcPr>
            <w:tcW w:w="3057" w:type="dxa"/>
            <w:vAlign w:val="center"/>
          </w:tcPr>
          <w:p w14:paraId="3B5F09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3CB4E0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5A08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F73558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12FABB58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0BBE9D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服务质量</w:t>
            </w:r>
          </w:p>
        </w:tc>
        <w:tc>
          <w:tcPr>
            <w:tcW w:w="1142" w:type="dxa"/>
            <w:vAlign w:val="center"/>
          </w:tcPr>
          <w:p w14:paraId="01D370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服务质量管理体系</w:t>
            </w:r>
          </w:p>
        </w:tc>
        <w:tc>
          <w:tcPr>
            <w:tcW w:w="651" w:type="dxa"/>
            <w:vAlign w:val="center"/>
          </w:tcPr>
          <w:p w14:paraId="1DC021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vAlign w:val="center"/>
          </w:tcPr>
          <w:p w14:paraId="3B8EC4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3252C7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0F7150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按GB/T 19001-2016/ISO 9001:2015建立并运行服务质量管理体系的情况</w:t>
            </w:r>
          </w:p>
        </w:tc>
        <w:tc>
          <w:tcPr>
            <w:tcW w:w="3057" w:type="dxa"/>
            <w:vAlign w:val="center"/>
          </w:tcPr>
          <w:p w14:paraId="00017F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有企业内部服务质量管理相关制度文件：0.5分</w:t>
            </w:r>
          </w:p>
          <w:p w14:paraId="796713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有服务质量管理体系相关认证证书：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0.5分</w:t>
            </w:r>
          </w:p>
          <w:p w14:paraId="1F2882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</w:tbl>
    <w:p w14:paraId="7E189E27">
      <w:pPr>
        <w:ind w:left="0" w:leftChars="0" w:firstLine="0" w:firstLineChars="0"/>
        <w:jc w:val="center"/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239"/>
        <w:gridCol w:w="675"/>
        <w:gridCol w:w="665"/>
        <w:gridCol w:w="763"/>
        <w:gridCol w:w="5125"/>
        <w:gridCol w:w="3162"/>
      </w:tblGrid>
      <w:tr w14:paraId="7A55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376AF0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124A88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357F918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39" w:type="dxa"/>
            <w:shd w:val="clear" w:color="auto" w:fill="D7D7D7" w:themeFill="background1" w:themeFillShade="D8"/>
            <w:vAlign w:val="center"/>
          </w:tcPr>
          <w:p w14:paraId="27AACE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5" w:type="dxa"/>
            <w:shd w:val="clear" w:color="auto" w:fill="D7D7D7" w:themeFill="background1" w:themeFillShade="D8"/>
            <w:vAlign w:val="center"/>
          </w:tcPr>
          <w:p w14:paraId="55F0B0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5" w:type="dxa"/>
            <w:shd w:val="clear" w:color="auto" w:fill="D7D7D7" w:themeFill="background1" w:themeFillShade="D8"/>
            <w:vAlign w:val="center"/>
          </w:tcPr>
          <w:p w14:paraId="37D83CB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763" w:type="dxa"/>
            <w:shd w:val="clear" w:color="auto" w:fill="D7D7D7" w:themeFill="background1" w:themeFillShade="D8"/>
            <w:vAlign w:val="center"/>
          </w:tcPr>
          <w:p w14:paraId="54D034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125" w:type="dxa"/>
            <w:shd w:val="clear" w:color="auto" w:fill="D7D7D7" w:themeFill="background1" w:themeFillShade="D8"/>
            <w:vAlign w:val="center"/>
          </w:tcPr>
          <w:p w14:paraId="4424E0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162" w:type="dxa"/>
            <w:shd w:val="clear" w:color="auto" w:fill="D7D7D7" w:themeFill="background1" w:themeFillShade="D8"/>
            <w:vAlign w:val="center"/>
          </w:tcPr>
          <w:p w14:paraId="4E739F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2B05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7ECA67C8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</w:t>
            </w:r>
          </w:p>
          <w:p w14:paraId="72981468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（34.5分）</w:t>
            </w:r>
          </w:p>
        </w:tc>
        <w:tc>
          <w:tcPr>
            <w:tcW w:w="786" w:type="dxa"/>
            <w:vMerge w:val="restart"/>
            <w:vAlign w:val="center"/>
          </w:tcPr>
          <w:p w14:paraId="679B3C5E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服务与创新</w:t>
            </w:r>
          </w:p>
          <w:p w14:paraId="4DD62832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（13.5分）</w:t>
            </w:r>
          </w:p>
        </w:tc>
        <w:tc>
          <w:tcPr>
            <w:tcW w:w="843" w:type="dxa"/>
            <w:vMerge w:val="restart"/>
            <w:vAlign w:val="center"/>
          </w:tcPr>
          <w:p w14:paraId="31131A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服务质量</w:t>
            </w:r>
          </w:p>
        </w:tc>
        <w:tc>
          <w:tcPr>
            <w:tcW w:w="1239" w:type="dxa"/>
            <w:vAlign w:val="center"/>
          </w:tcPr>
          <w:p w14:paraId="3A1C72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客户投诉管理</w:t>
            </w:r>
          </w:p>
        </w:tc>
        <w:tc>
          <w:tcPr>
            <w:tcW w:w="675" w:type="dxa"/>
            <w:vAlign w:val="center"/>
          </w:tcPr>
          <w:p w14:paraId="0602DF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65" w:type="dxa"/>
            <w:vAlign w:val="center"/>
          </w:tcPr>
          <w:p w14:paraId="535E54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763" w:type="dxa"/>
            <w:vAlign w:val="center"/>
          </w:tcPr>
          <w:p w14:paraId="41BB04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125" w:type="dxa"/>
            <w:vAlign w:val="center"/>
          </w:tcPr>
          <w:p w14:paraId="2BBAA2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客户投诉渠道、受理流程、投诉类型、解决情况等</w:t>
            </w:r>
          </w:p>
        </w:tc>
        <w:tc>
          <w:tcPr>
            <w:tcW w:w="3162" w:type="dxa"/>
            <w:vAlign w:val="center"/>
          </w:tcPr>
          <w:p w14:paraId="2094B6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有管理制度与流程说明：0.25分</w:t>
            </w:r>
          </w:p>
          <w:p w14:paraId="1F75C4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有投诉类型与解决情况说明：0.25分</w:t>
            </w:r>
          </w:p>
          <w:p w14:paraId="66B039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6F2B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A2A610E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A0A50A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4305D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Align w:val="center"/>
          </w:tcPr>
          <w:p w14:paraId="455665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客户投诉</w:t>
            </w:r>
          </w:p>
        </w:tc>
        <w:tc>
          <w:tcPr>
            <w:tcW w:w="675" w:type="dxa"/>
            <w:vAlign w:val="center"/>
          </w:tcPr>
          <w:p w14:paraId="14ABB23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65" w:type="dxa"/>
            <w:vAlign w:val="center"/>
          </w:tcPr>
          <w:p w14:paraId="411A06B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763" w:type="dxa"/>
            <w:vAlign w:val="center"/>
          </w:tcPr>
          <w:p w14:paraId="637782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</w:t>
            </w:r>
          </w:p>
        </w:tc>
        <w:tc>
          <w:tcPr>
            <w:tcW w:w="5125" w:type="dxa"/>
            <w:vAlign w:val="center"/>
          </w:tcPr>
          <w:p w14:paraId="77CC14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报告期内，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披露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企业接到的服务投诉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3162" w:type="dxa"/>
            <w:vAlign w:val="center"/>
          </w:tcPr>
          <w:p w14:paraId="68BAE0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26DF4A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1CEE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35B94AD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F41B518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C0FB9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Align w:val="center"/>
          </w:tcPr>
          <w:p w14:paraId="24F4B8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客户满意度</w:t>
            </w:r>
          </w:p>
        </w:tc>
        <w:tc>
          <w:tcPr>
            <w:tcW w:w="675" w:type="dxa"/>
            <w:vAlign w:val="center"/>
          </w:tcPr>
          <w:p w14:paraId="073031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65" w:type="dxa"/>
            <w:vAlign w:val="center"/>
          </w:tcPr>
          <w:p w14:paraId="335B63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763" w:type="dxa"/>
            <w:vAlign w:val="center"/>
          </w:tcPr>
          <w:p w14:paraId="783B81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</w:t>
            </w:r>
          </w:p>
        </w:tc>
        <w:tc>
          <w:tcPr>
            <w:tcW w:w="5125" w:type="dxa"/>
            <w:vAlign w:val="center"/>
          </w:tcPr>
          <w:p w14:paraId="6AE5BC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以改进服务为目标，开展的客户满意度调查活动及调查结果</w:t>
            </w:r>
          </w:p>
        </w:tc>
        <w:tc>
          <w:tcPr>
            <w:tcW w:w="3162" w:type="dxa"/>
            <w:vAlign w:val="center"/>
          </w:tcPr>
          <w:p w14:paraId="48DCD0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有：1.5分</w:t>
            </w:r>
          </w:p>
          <w:p w14:paraId="76F21D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442F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4" w:type="dxa"/>
            <w:vMerge w:val="continue"/>
            <w:vAlign w:val="center"/>
          </w:tcPr>
          <w:p w14:paraId="23800340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7227D7CB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供应链管理</w:t>
            </w:r>
          </w:p>
          <w:p w14:paraId="6A39B311">
            <w:pPr>
              <w:spacing w:line="240" w:lineRule="auto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（3.5分）</w:t>
            </w:r>
          </w:p>
        </w:tc>
        <w:tc>
          <w:tcPr>
            <w:tcW w:w="843" w:type="dxa"/>
            <w:vMerge w:val="restart"/>
            <w:vAlign w:val="center"/>
          </w:tcPr>
          <w:p w14:paraId="2BF861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供应商管理</w:t>
            </w:r>
          </w:p>
        </w:tc>
        <w:tc>
          <w:tcPr>
            <w:tcW w:w="1239" w:type="dxa"/>
            <w:vAlign w:val="center"/>
          </w:tcPr>
          <w:p w14:paraId="010856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供应商尽职调查</w:t>
            </w:r>
          </w:p>
        </w:tc>
        <w:tc>
          <w:tcPr>
            <w:tcW w:w="675" w:type="dxa"/>
            <w:vAlign w:val="center"/>
          </w:tcPr>
          <w:p w14:paraId="336037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65" w:type="dxa"/>
            <w:vAlign w:val="center"/>
          </w:tcPr>
          <w:p w14:paraId="204C10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763" w:type="dxa"/>
            <w:vAlign w:val="center"/>
          </w:tcPr>
          <w:p w14:paraId="3676DC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125" w:type="dxa"/>
            <w:vAlign w:val="center"/>
          </w:tcPr>
          <w:p w14:paraId="612EB9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与供应商建立合作关系时开展尽职调查的情况，明确尽职调查的内容，如供应商生产规模、资金实力、资质认证、廉洁行为等</w:t>
            </w:r>
          </w:p>
        </w:tc>
        <w:tc>
          <w:tcPr>
            <w:tcW w:w="3162" w:type="dxa"/>
            <w:vAlign w:val="center"/>
          </w:tcPr>
          <w:p w14:paraId="098449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有相关制度：0.25分</w:t>
            </w:r>
          </w:p>
          <w:p w14:paraId="06BDCA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有年度对供应商开展尽职调查的说明：0.25分</w:t>
            </w:r>
          </w:p>
          <w:p w14:paraId="4F07FB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2D3C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3A76A28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6E56DCD8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33DE6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Align w:val="center"/>
          </w:tcPr>
          <w:p w14:paraId="067C6D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供应商评估与考核</w:t>
            </w:r>
          </w:p>
        </w:tc>
        <w:tc>
          <w:tcPr>
            <w:tcW w:w="675" w:type="dxa"/>
            <w:vAlign w:val="center"/>
          </w:tcPr>
          <w:p w14:paraId="4C33F5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65" w:type="dxa"/>
            <w:vAlign w:val="center"/>
          </w:tcPr>
          <w:p w14:paraId="71F623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763" w:type="dxa"/>
            <w:vAlign w:val="center"/>
          </w:tcPr>
          <w:p w14:paraId="6D46950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125" w:type="dxa"/>
            <w:vAlign w:val="center"/>
          </w:tcPr>
          <w:p w14:paraId="127DDE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定期对供应商的综合表现进行评估，包括服务质量、履约能力、ESG合规表现等，用于供应商的奖惩、分级管理、续约或淘汰等</w:t>
            </w:r>
          </w:p>
        </w:tc>
        <w:tc>
          <w:tcPr>
            <w:tcW w:w="3162" w:type="dxa"/>
            <w:vAlign w:val="center"/>
          </w:tcPr>
          <w:p w14:paraId="3B3323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有相关制度：0.25分</w:t>
            </w:r>
          </w:p>
          <w:p w14:paraId="4FD309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有年度评估与考核说明：0.25分</w:t>
            </w:r>
          </w:p>
          <w:p w14:paraId="5EC493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59AD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5FF6F70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985E0A6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33B8C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Align w:val="center"/>
          </w:tcPr>
          <w:p w14:paraId="663A5B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供应商ESG风险识别与监控</w:t>
            </w:r>
          </w:p>
        </w:tc>
        <w:tc>
          <w:tcPr>
            <w:tcW w:w="675" w:type="dxa"/>
            <w:vAlign w:val="center"/>
          </w:tcPr>
          <w:p w14:paraId="589709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65" w:type="dxa"/>
            <w:vAlign w:val="center"/>
          </w:tcPr>
          <w:p w14:paraId="3FE997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vAlign w:val="center"/>
          </w:tcPr>
          <w:p w14:paraId="374C54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125" w:type="dxa"/>
            <w:vAlign w:val="center"/>
          </w:tcPr>
          <w:p w14:paraId="3066FB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建立供应商ESG风险清单，定期识别其在环境、社会等方面潜在的风险并实施监控，以及报告期内被纳入识别与监控的供应商占比</w:t>
            </w:r>
          </w:p>
        </w:tc>
        <w:tc>
          <w:tcPr>
            <w:tcW w:w="3162" w:type="dxa"/>
            <w:vAlign w:val="center"/>
          </w:tcPr>
          <w:p w14:paraId="264255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有相关制度：0.5分</w:t>
            </w:r>
          </w:p>
          <w:p w14:paraId="4A2DC8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有相关数据：0.5分</w:t>
            </w:r>
          </w:p>
          <w:p w14:paraId="3FE235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526B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355CE7B6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C7DA00C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2F1BF2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绿色采购</w:t>
            </w:r>
          </w:p>
        </w:tc>
        <w:tc>
          <w:tcPr>
            <w:tcW w:w="1239" w:type="dxa"/>
            <w:vAlign w:val="center"/>
          </w:tcPr>
          <w:p w14:paraId="6AEC58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绿色采购</w:t>
            </w:r>
          </w:p>
        </w:tc>
        <w:tc>
          <w:tcPr>
            <w:tcW w:w="675" w:type="dxa"/>
            <w:vAlign w:val="center"/>
          </w:tcPr>
          <w:p w14:paraId="43182F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65" w:type="dxa"/>
            <w:vAlign w:val="center"/>
          </w:tcPr>
          <w:p w14:paraId="77B482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vAlign w:val="center"/>
          </w:tcPr>
          <w:p w14:paraId="2E4550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125" w:type="dxa"/>
            <w:vAlign w:val="center"/>
          </w:tcPr>
          <w:p w14:paraId="4BFC35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优先采购和使用节能、节水、节材等有利于环境保护的原材料、产品和服务的制度或举措，包括产品和服务类型、数量以及采购金额等</w:t>
            </w:r>
          </w:p>
        </w:tc>
        <w:tc>
          <w:tcPr>
            <w:tcW w:w="3162" w:type="dxa"/>
            <w:vAlign w:val="center"/>
          </w:tcPr>
          <w:p w14:paraId="1AD42A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有绿色采购管理制度：0.5分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有年度绿色采购说明：0.5分</w:t>
            </w:r>
          </w:p>
          <w:p w14:paraId="74B779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</w:tbl>
    <w:p w14:paraId="6B7BD37F"/>
    <w:p w14:paraId="6E312690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5230"/>
        <w:gridCol w:w="3057"/>
      </w:tblGrid>
      <w:tr w14:paraId="1CB3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7640DE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61F8DD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1F5AB4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7F862D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52E98C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305F30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5EA904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2AB330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6387D3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2B89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61368B03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</w:t>
            </w:r>
          </w:p>
          <w:p w14:paraId="05641CD8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（34.5分）</w:t>
            </w:r>
          </w:p>
        </w:tc>
        <w:tc>
          <w:tcPr>
            <w:tcW w:w="786" w:type="dxa"/>
            <w:vAlign w:val="center"/>
          </w:tcPr>
          <w:p w14:paraId="69A04AA7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供应链管理</w:t>
            </w:r>
          </w:p>
          <w:p w14:paraId="747ECF2E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（3.5分）</w:t>
            </w:r>
          </w:p>
        </w:tc>
        <w:tc>
          <w:tcPr>
            <w:tcW w:w="843" w:type="dxa"/>
            <w:vAlign w:val="center"/>
          </w:tcPr>
          <w:p w14:paraId="3D83E9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阳光采购</w:t>
            </w:r>
          </w:p>
        </w:tc>
        <w:tc>
          <w:tcPr>
            <w:tcW w:w="1142" w:type="dxa"/>
            <w:vAlign w:val="center"/>
          </w:tcPr>
          <w:p w14:paraId="184D5B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阳光采购</w:t>
            </w:r>
          </w:p>
        </w:tc>
        <w:tc>
          <w:tcPr>
            <w:tcW w:w="651" w:type="dxa"/>
            <w:vAlign w:val="center"/>
          </w:tcPr>
          <w:p w14:paraId="54430A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50" w:type="dxa"/>
            <w:vAlign w:val="center"/>
          </w:tcPr>
          <w:p w14:paraId="7B5998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3B1D87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137212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遵循“公开、公平、公正”的原则，与供应商签订廉洁协议，杜绝暗箱操作等不合规行为的情况</w:t>
            </w:r>
          </w:p>
        </w:tc>
        <w:tc>
          <w:tcPr>
            <w:tcW w:w="3057" w:type="dxa"/>
            <w:vAlign w:val="center"/>
          </w:tcPr>
          <w:p w14:paraId="6E0E8B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046C30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48F6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59B60BFA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419A9E9E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社会贡献</w:t>
            </w:r>
          </w:p>
          <w:p w14:paraId="727FB738">
            <w:pPr>
              <w:spacing w:line="240" w:lineRule="auto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843" w:type="dxa"/>
            <w:vMerge w:val="restart"/>
            <w:vAlign w:val="center"/>
          </w:tcPr>
          <w:p w14:paraId="232CFF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公益投资与捐赠</w:t>
            </w:r>
          </w:p>
        </w:tc>
        <w:tc>
          <w:tcPr>
            <w:tcW w:w="1142" w:type="dxa"/>
            <w:vAlign w:val="center"/>
          </w:tcPr>
          <w:p w14:paraId="0A1567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651" w:type="dxa"/>
            <w:vAlign w:val="center"/>
          </w:tcPr>
          <w:p w14:paraId="1E176B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50" w:type="dxa"/>
            <w:vAlign w:val="center"/>
          </w:tcPr>
          <w:p w14:paraId="3C8FB9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779308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6D19BE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报告期内，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乡村振兴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的举措与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投入情况</w:t>
            </w:r>
          </w:p>
        </w:tc>
        <w:tc>
          <w:tcPr>
            <w:tcW w:w="3057" w:type="dxa"/>
            <w:vAlign w:val="center"/>
          </w:tcPr>
          <w:p w14:paraId="5608F3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有具体举措：0.5分</w:t>
            </w:r>
          </w:p>
          <w:p w14:paraId="5D855B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有资金或物资捐赠数据：0.5分</w:t>
            </w:r>
          </w:p>
          <w:p w14:paraId="6F184D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6C0A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7355FFF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EE5A0FE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8C227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21C22C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公益捐赠</w:t>
            </w:r>
          </w:p>
        </w:tc>
        <w:tc>
          <w:tcPr>
            <w:tcW w:w="651" w:type="dxa"/>
            <w:vAlign w:val="center"/>
          </w:tcPr>
          <w:p w14:paraId="6C399F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650" w:type="dxa"/>
            <w:vAlign w:val="center"/>
          </w:tcPr>
          <w:p w14:paraId="067E5E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Align w:val="center"/>
          </w:tcPr>
          <w:p w14:paraId="47FF2E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3A4348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报告期内，除乡村振兴之外的公益活动投入情况</w:t>
            </w:r>
          </w:p>
        </w:tc>
        <w:tc>
          <w:tcPr>
            <w:tcW w:w="3057" w:type="dxa"/>
            <w:vAlign w:val="center"/>
          </w:tcPr>
          <w:p w14:paraId="7A631B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有项目或活动说明：0.5分</w:t>
            </w:r>
          </w:p>
          <w:p w14:paraId="03C937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有资金或物资捐赠数据：0.5分</w:t>
            </w:r>
          </w:p>
          <w:p w14:paraId="516E5C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11CC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B2222D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79743D92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3E30C4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社区共建</w:t>
            </w:r>
          </w:p>
        </w:tc>
        <w:tc>
          <w:tcPr>
            <w:tcW w:w="1142" w:type="dxa"/>
            <w:vAlign w:val="center"/>
          </w:tcPr>
          <w:p w14:paraId="74FA41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社区发展投资</w:t>
            </w:r>
          </w:p>
        </w:tc>
        <w:tc>
          <w:tcPr>
            <w:tcW w:w="651" w:type="dxa"/>
            <w:vAlign w:val="center"/>
          </w:tcPr>
          <w:p w14:paraId="70608F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50" w:type="dxa"/>
            <w:vAlign w:val="center"/>
          </w:tcPr>
          <w:p w14:paraId="0920C3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797F42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</w:t>
            </w:r>
          </w:p>
        </w:tc>
        <w:tc>
          <w:tcPr>
            <w:tcW w:w="5230" w:type="dxa"/>
            <w:vAlign w:val="center"/>
          </w:tcPr>
          <w:p w14:paraId="7CF16D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支持当地社区发展的投资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3057" w:type="dxa"/>
            <w:vAlign w:val="center"/>
          </w:tcPr>
          <w:p w14:paraId="73BA8F0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0A41F0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065E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36D88404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1E7CC7B6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E9A3F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6DB212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社区便民服务</w:t>
            </w:r>
          </w:p>
        </w:tc>
        <w:tc>
          <w:tcPr>
            <w:tcW w:w="651" w:type="dxa"/>
            <w:vAlign w:val="center"/>
          </w:tcPr>
          <w:p w14:paraId="551248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50" w:type="dxa"/>
            <w:vAlign w:val="center"/>
          </w:tcPr>
          <w:p w14:paraId="668C5B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1F81D2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7FAADE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在在管区域开展的公益便民服务情况</w:t>
            </w:r>
          </w:p>
        </w:tc>
        <w:tc>
          <w:tcPr>
            <w:tcW w:w="3057" w:type="dxa"/>
            <w:vAlign w:val="center"/>
          </w:tcPr>
          <w:p w14:paraId="7E5C8D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755098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203B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05A8FF6F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14FFC56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9DEF5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68263A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志愿服务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组织管理</w:t>
            </w:r>
          </w:p>
        </w:tc>
        <w:tc>
          <w:tcPr>
            <w:tcW w:w="651" w:type="dxa"/>
            <w:vAlign w:val="center"/>
          </w:tcPr>
          <w:p w14:paraId="047F27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650" w:type="dxa"/>
            <w:vAlign w:val="center"/>
          </w:tcPr>
          <w:p w14:paraId="0026DD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4C0B55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196F50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企业建立的志愿服务组织内部架构情况，以及配套的章程、管理办法、激励和保障等制度文件情况。</w:t>
            </w:r>
          </w:p>
        </w:tc>
        <w:tc>
          <w:tcPr>
            <w:tcW w:w="3057" w:type="dxa"/>
            <w:vAlign w:val="center"/>
          </w:tcPr>
          <w:p w14:paraId="337404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6654AB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5387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Merge w:val="continue"/>
            <w:vAlign w:val="center"/>
          </w:tcPr>
          <w:p w14:paraId="1E54AEB4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1ABFE537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797CB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7D6E29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志愿服务贡献</w:t>
            </w:r>
          </w:p>
        </w:tc>
        <w:tc>
          <w:tcPr>
            <w:tcW w:w="651" w:type="dxa"/>
            <w:vAlign w:val="center"/>
          </w:tcPr>
          <w:p w14:paraId="5588EDE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50" w:type="dxa"/>
            <w:vAlign w:val="center"/>
          </w:tcPr>
          <w:p w14:paraId="44C9EEE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474B86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</w:t>
            </w:r>
          </w:p>
        </w:tc>
        <w:tc>
          <w:tcPr>
            <w:tcW w:w="5230" w:type="dxa"/>
            <w:vAlign w:val="center"/>
          </w:tcPr>
          <w:p w14:paraId="29C9CC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组织或参与的志愿服务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活动绩效，如活动次数、参与人次、服务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总时长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、受益人次数等。</w:t>
            </w:r>
          </w:p>
        </w:tc>
        <w:tc>
          <w:tcPr>
            <w:tcW w:w="3057" w:type="dxa"/>
            <w:vAlign w:val="center"/>
          </w:tcPr>
          <w:p w14:paraId="244D8E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77E39B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0A51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D2D986A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CD203E7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0A353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20167D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社区文化促进活动</w:t>
            </w:r>
          </w:p>
        </w:tc>
        <w:tc>
          <w:tcPr>
            <w:tcW w:w="651" w:type="dxa"/>
            <w:vAlign w:val="center"/>
          </w:tcPr>
          <w:p w14:paraId="33E0FC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50" w:type="dxa"/>
            <w:vAlign w:val="center"/>
          </w:tcPr>
          <w:p w14:paraId="7AC759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0ADD49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4B0217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在当地社区开展文化活动（节日活动、文化讲座等）的次数以及参与的总人数等</w:t>
            </w:r>
          </w:p>
        </w:tc>
        <w:tc>
          <w:tcPr>
            <w:tcW w:w="3057" w:type="dxa"/>
            <w:vAlign w:val="center"/>
          </w:tcPr>
          <w:p w14:paraId="444C05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有具体情况介绍：0.25分</w:t>
            </w:r>
          </w:p>
          <w:p w14:paraId="0A427DB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有相关活动统计数据：0.25分</w:t>
            </w:r>
          </w:p>
          <w:p w14:paraId="061C07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</w:tbl>
    <w:p w14:paraId="2F00C892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5230"/>
        <w:gridCol w:w="3057"/>
      </w:tblGrid>
      <w:tr w14:paraId="5406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2EB767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5277A1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6D3B37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5F33B3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251BD7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5F1A45A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47EAD7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4DAC46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12BD56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4E25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002DF3E5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</w:t>
            </w:r>
          </w:p>
          <w:p w14:paraId="313690B5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（34.5分）</w:t>
            </w:r>
          </w:p>
        </w:tc>
        <w:tc>
          <w:tcPr>
            <w:tcW w:w="786" w:type="dxa"/>
            <w:vAlign w:val="center"/>
          </w:tcPr>
          <w:p w14:paraId="01170F68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社会贡献</w:t>
            </w:r>
          </w:p>
          <w:p w14:paraId="62D26625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843" w:type="dxa"/>
            <w:vAlign w:val="center"/>
          </w:tcPr>
          <w:p w14:paraId="1B5413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社区共建</w:t>
            </w:r>
          </w:p>
        </w:tc>
        <w:tc>
          <w:tcPr>
            <w:tcW w:w="1142" w:type="dxa"/>
            <w:vAlign w:val="center"/>
          </w:tcPr>
          <w:p w14:paraId="42BC6D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解决当地就业</w:t>
            </w:r>
          </w:p>
        </w:tc>
        <w:tc>
          <w:tcPr>
            <w:tcW w:w="651" w:type="dxa"/>
            <w:vAlign w:val="center"/>
          </w:tcPr>
          <w:p w14:paraId="464665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50" w:type="dxa"/>
            <w:vAlign w:val="center"/>
          </w:tcPr>
          <w:p w14:paraId="38876C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899" w:type="dxa"/>
            <w:vAlign w:val="center"/>
          </w:tcPr>
          <w:p w14:paraId="276724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</w:t>
            </w:r>
          </w:p>
        </w:tc>
        <w:tc>
          <w:tcPr>
            <w:tcW w:w="5230" w:type="dxa"/>
            <w:vAlign w:val="center"/>
          </w:tcPr>
          <w:p w14:paraId="247D09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报告期内，新雇佣的当地员工数量及占当年雇佣员工总数的比例</w:t>
            </w:r>
          </w:p>
        </w:tc>
        <w:tc>
          <w:tcPr>
            <w:tcW w:w="3057" w:type="dxa"/>
            <w:vAlign w:val="center"/>
          </w:tcPr>
          <w:p w14:paraId="4CE730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有：0.5分</w:t>
            </w:r>
          </w:p>
          <w:p w14:paraId="1F7EA4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5FE5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20DB021B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治理</w:t>
            </w:r>
          </w:p>
          <w:p w14:paraId="532B9F29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（38.5分）</w:t>
            </w:r>
          </w:p>
        </w:tc>
        <w:tc>
          <w:tcPr>
            <w:tcW w:w="786" w:type="dxa"/>
            <w:vMerge w:val="restart"/>
            <w:vAlign w:val="center"/>
          </w:tcPr>
          <w:p w14:paraId="70CA7472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治理机制</w:t>
            </w:r>
          </w:p>
          <w:p w14:paraId="43FDF457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（32.5分）</w:t>
            </w:r>
          </w:p>
        </w:tc>
        <w:tc>
          <w:tcPr>
            <w:tcW w:w="843" w:type="dxa"/>
            <w:vMerge w:val="restart"/>
            <w:vAlign w:val="center"/>
          </w:tcPr>
          <w:p w14:paraId="6D9189D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党的建设</w:t>
            </w:r>
          </w:p>
        </w:tc>
        <w:tc>
          <w:tcPr>
            <w:tcW w:w="1142" w:type="dxa"/>
            <w:vAlign w:val="center"/>
          </w:tcPr>
          <w:p w14:paraId="6558B9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组织建设</w:t>
            </w:r>
          </w:p>
        </w:tc>
        <w:tc>
          <w:tcPr>
            <w:tcW w:w="651" w:type="dxa"/>
            <w:vAlign w:val="center"/>
          </w:tcPr>
          <w:p w14:paraId="5EE7F5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650" w:type="dxa"/>
            <w:vAlign w:val="center"/>
          </w:tcPr>
          <w:p w14:paraId="1D5D9C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899" w:type="dxa"/>
            <w:vAlign w:val="center"/>
          </w:tcPr>
          <w:p w14:paraId="355CC1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7CE927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企业党组织成立情况</w:t>
            </w:r>
          </w:p>
        </w:tc>
        <w:tc>
          <w:tcPr>
            <w:tcW w:w="3057" w:type="dxa"/>
            <w:vAlign w:val="center"/>
          </w:tcPr>
          <w:p w14:paraId="72A62E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有：1.5分</w:t>
            </w:r>
          </w:p>
          <w:p w14:paraId="2CF3C3A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4B86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5501CA0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3F861D01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140FC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2C7797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沟通机制</w:t>
            </w:r>
          </w:p>
        </w:tc>
        <w:tc>
          <w:tcPr>
            <w:tcW w:w="651" w:type="dxa"/>
            <w:vAlign w:val="center"/>
          </w:tcPr>
          <w:p w14:paraId="0290D3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650" w:type="dxa"/>
            <w:vAlign w:val="center"/>
          </w:tcPr>
          <w:p w14:paraId="1A78C5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899" w:type="dxa"/>
            <w:vAlign w:val="center"/>
          </w:tcPr>
          <w:p w14:paraId="0884CF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10BC80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企业党组织与社区党组织建立的沟通及联动机制运行情况</w:t>
            </w:r>
          </w:p>
        </w:tc>
        <w:tc>
          <w:tcPr>
            <w:tcW w:w="3057" w:type="dxa"/>
            <w:vAlign w:val="center"/>
          </w:tcPr>
          <w:p w14:paraId="5E9539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有相关机制建立情况说明：1分</w:t>
            </w:r>
          </w:p>
          <w:p w14:paraId="7F96FF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有年度机制运行情况说明：0.5分</w:t>
            </w:r>
          </w:p>
          <w:p w14:paraId="3A8BE5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7D0A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FCFC54C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683A177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96B85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2A51EB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组织生活</w:t>
            </w:r>
          </w:p>
        </w:tc>
        <w:tc>
          <w:tcPr>
            <w:tcW w:w="651" w:type="dxa"/>
            <w:vAlign w:val="center"/>
          </w:tcPr>
          <w:p w14:paraId="09BFFD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650" w:type="dxa"/>
            <w:vAlign w:val="center"/>
          </w:tcPr>
          <w:p w14:paraId="1B211D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899" w:type="dxa"/>
            <w:vAlign w:val="center"/>
          </w:tcPr>
          <w:p w14:paraId="2DF35A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7D45FF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企业党组织开展组织生活的情况</w:t>
            </w:r>
          </w:p>
        </w:tc>
        <w:tc>
          <w:tcPr>
            <w:tcW w:w="3057" w:type="dxa"/>
            <w:vAlign w:val="center"/>
          </w:tcPr>
          <w:p w14:paraId="310473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有：1.5分</w:t>
            </w:r>
          </w:p>
          <w:p w14:paraId="2B90E7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003B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0F8CB5D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7007118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469F2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41E92A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参与治理</w:t>
            </w:r>
          </w:p>
        </w:tc>
        <w:tc>
          <w:tcPr>
            <w:tcW w:w="651" w:type="dxa"/>
            <w:vAlign w:val="center"/>
          </w:tcPr>
          <w:p w14:paraId="620393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650" w:type="dxa"/>
            <w:vAlign w:val="center"/>
          </w:tcPr>
          <w:p w14:paraId="320A10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vAlign w:val="center"/>
          </w:tcPr>
          <w:p w14:paraId="482E05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4D31AC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企业党组织在企业治理中发挥的作用，如参与重大决策的情况</w:t>
            </w:r>
          </w:p>
        </w:tc>
        <w:tc>
          <w:tcPr>
            <w:tcW w:w="3057" w:type="dxa"/>
            <w:vAlign w:val="center"/>
          </w:tcPr>
          <w:p w14:paraId="0B44F3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有相关管理制度及流程说明：1分</w:t>
            </w:r>
          </w:p>
          <w:p w14:paraId="1AB001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有相关实例说明：1分</w:t>
            </w:r>
          </w:p>
          <w:p w14:paraId="725DA8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024F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081DE07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3E11371E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1E612D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治理架构</w:t>
            </w:r>
          </w:p>
        </w:tc>
        <w:tc>
          <w:tcPr>
            <w:tcW w:w="1142" w:type="dxa"/>
            <w:vAlign w:val="center"/>
          </w:tcPr>
          <w:p w14:paraId="627260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董事会</w:t>
            </w:r>
          </w:p>
        </w:tc>
        <w:tc>
          <w:tcPr>
            <w:tcW w:w="651" w:type="dxa"/>
            <w:vAlign w:val="center"/>
          </w:tcPr>
          <w:p w14:paraId="4852F0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650" w:type="dxa"/>
            <w:vAlign w:val="center"/>
          </w:tcPr>
          <w:p w14:paraId="5F5988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vAlign w:val="center"/>
          </w:tcPr>
          <w:p w14:paraId="2E9114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4553C0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董事会设置情况</w:t>
            </w:r>
          </w:p>
        </w:tc>
        <w:tc>
          <w:tcPr>
            <w:tcW w:w="3057" w:type="dxa"/>
            <w:vAlign w:val="center"/>
          </w:tcPr>
          <w:p w14:paraId="0791CC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有：2分</w:t>
            </w:r>
          </w:p>
          <w:p w14:paraId="53A33A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4476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74D12773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A3FEAD4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6C437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7BC07D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独立董事占比</w:t>
            </w:r>
          </w:p>
        </w:tc>
        <w:tc>
          <w:tcPr>
            <w:tcW w:w="651" w:type="dxa"/>
            <w:vAlign w:val="center"/>
          </w:tcPr>
          <w:p w14:paraId="7B3A7F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650" w:type="dxa"/>
            <w:vAlign w:val="center"/>
          </w:tcPr>
          <w:p w14:paraId="319765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vAlign w:val="center"/>
          </w:tcPr>
          <w:p w14:paraId="786E76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定量</w:t>
            </w:r>
          </w:p>
        </w:tc>
        <w:tc>
          <w:tcPr>
            <w:tcW w:w="5230" w:type="dxa"/>
            <w:vAlign w:val="center"/>
          </w:tcPr>
          <w:p w14:paraId="49560C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独立董事在董事会中的占比</w:t>
            </w:r>
          </w:p>
        </w:tc>
        <w:tc>
          <w:tcPr>
            <w:tcW w:w="3057" w:type="dxa"/>
            <w:vAlign w:val="center"/>
          </w:tcPr>
          <w:p w14:paraId="00081E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有：按当年行业基准值区间赋分</w:t>
            </w:r>
          </w:p>
          <w:p w14:paraId="1C7B58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</w:tbl>
    <w:p w14:paraId="4E9359A1"/>
    <w:p w14:paraId="0169E40D"/>
    <w:p w14:paraId="0C9ED056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4947"/>
        <w:gridCol w:w="3340"/>
      </w:tblGrid>
      <w:tr w14:paraId="7446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7ADC08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1A7906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0733C0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01CB0D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053BB1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3AFE6C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40FD38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4947" w:type="dxa"/>
            <w:shd w:val="clear" w:color="auto" w:fill="D7D7D7" w:themeFill="background1" w:themeFillShade="D8"/>
            <w:vAlign w:val="center"/>
          </w:tcPr>
          <w:p w14:paraId="50000E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340" w:type="dxa"/>
            <w:shd w:val="clear" w:color="auto" w:fill="D7D7D7" w:themeFill="background1" w:themeFillShade="D8"/>
            <w:vAlign w:val="center"/>
          </w:tcPr>
          <w:p w14:paraId="2A3A18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435D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63642C25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治理</w:t>
            </w:r>
          </w:p>
          <w:p w14:paraId="00ABCC2B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（38.5分）</w:t>
            </w:r>
          </w:p>
        </w:tc>
        <w:tc>
          <w:tcPr>
            <w:tcW w:w="786" w:type="dxa"/>
            <w:vMerge w:val="restart"/>
            <w:vAlign w:val="center"/>
          </w:tcPr>
          <w:p w14:paraId="72EFBB14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治理机制</w:t>
            </w:r>
          </w:p>
          <w:p w14:paraId="785F246A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（32.5分）</w:t>
            </w:r>
          </w:p>
        </w:tc>
        <w:tc>
          <w:tcPr>
            <w:tcW w:w="843" w:type="dxa"/>
            <w:vMerge w:val="restart"/>
            <w:vAlign w:val="center"/>
          </w:tcPr>
          <w:p w14:paraId="2A7ECF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治理架构</w:t>
            </w:r>
          </w:p>
        </w:tc>
        <w:tc>
          <w:tcPr>
            <w:tcW w:w="1142" w:type="dxa"/>
            <w:vAlign w:val="center"/>
          </w:tcPr>
          <w:p w14:paraId="5D7835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董事长与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执行董事任职</w:t>
            </w:r>
          </w:p>
        </w:tc>
        <w:tc>
          <w:tcPr>
            <w:tcW w:w="651" w:type="dxa"/>
            <w:vAlign w:val="center"/>
          </w:tcPr>
          <w:p w14:paraId="3891B6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650" w:type="dxa"/>
            <w:vAlign w:val="center"/>
          </w:tcPr>
          <w:p w14:paraId="500A28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vAlign w:val="center"/>
          </w:tcPr>
          <w:p w14:paraId="41BA93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4947" w:type="dxa"/>
            <w:vAlign w:val="center"/>
          </w:tcPr>
          <w:p w14:paraId="2E017F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董事长与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执行董事任职情况</w:t>
            </w:r>
          </w:p>
        </w:tc>
        <w:tc>
          <w:tcPr>
            <w:tcW w:w="3340" w:type="dxa"/>
            <w:vAlign w:val="center"/>
          </w:tcPr>
          <w:p w14:paraId="394276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两职分离：2分</w:t>
            </w:r>
          </w:p>
          <w:p w14:paraId="52745E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两职合一，但董事会中独立董事占比≥50%：1分</w:t>
            </w:r>
          </w:p>
          <w:p w14:paraId="3378D4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两职合一，但董事会中独立董事占比＜50%：0.5分</w:t>
            </w:r>
          </w:p>
        </w:tc>
      </w:tr>
      <w:tr w14:paraId="7BD8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AAF082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BBB7461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63702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250796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ESG/可持续发展/风险管理委员会设立情况</w:t>
            </w:r>
          </w:p>
        </w:tc>
        <w:tc>
          <w:tcPr>
            <w:tcW w:w="651" w:type="dxa"/>
            <w:vAlign w:val="center"/>
          </w:tcPr>
          <w:p w14:paraId="258FC4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650" w:type="dxa"/>
            <w:vAlign w:val="center"/>
          </w:tcPr>
          <w:p w14:paraId="68EC31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899" w:type="dxa"/>
            <w:vAlign w:val="center"/>
          </w:tcPr>
          <w:p w14:paraId="7CB1D1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4947" w:type="dxa"/>
            <w:vAlign w:val="center"/>
          </w:tcPr>
          <w:p w14:paraId="7A6844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在董事会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或管理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层面设立ESG专委会的情况</w:t>
            </w:r>
          </w:p>
        </w:tc>
        <w:tc>
          <w:tcPr>
            <w:tcW w:w="3340" w:type="dxa"/>
            <w:vAlign w:val="center"/>
          </w:tcPr>
          <w:p w14:paraId="60C593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董事会层面设立ESG专委会：2.5分</w:t>
            </w:r>
          </w:p>
          <w:p w14:paraId="46B7713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在管理层有独立的ESG领导小组或工作组：1.5分</w:t>
            </w:r>
          </w:p>
          <w:p w14:paraId="3F3244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7158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73F0BB2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5EEEC021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0E5001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合规管理</w:t>
            </w:r>
          </w:p>
        </w:tc>
        <w:tc>
          <w:tcPr>
            <w:tcW w:w="1142" w:type="dxa"/>
            <w:vAlign w:val="center"/>
          </w:tcPr>
          <w:p w14:paraId="58EBD6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合规管理体系</w:t>
            </w:r>
          </w:p>
        </w:tc>
        <w:tc>
          <w:tcPr>
            <w:tcW w:w="651" w:type="dxa"/>
            <w:vAlign w:val="center"/>
          </w:tcPr>
          <w:p w14:paraId="027114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650" w:type="dxa"/>
            <w:vAlign w:val="center"/>
          </w:tcPr>
          <w:p w14:paraId="45D9D9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899" w:type="dxa"/>
            <w:vAlign w:val="center"/>
          </w:tcPr>
          <w:p w14:paraId="1C651B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4947" w:type="dxa"/>
            <w:vAlign w:val="center"/>
          </w:tcPr>
          <w:p w14:paraId="629027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按GB/T 35770-2022/ISO 37301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2021建立并运行合规管理体系情况</w:t>
            </w:r>
          </w:p>
        </w:tc>
        <w:tc>
          <w:tcPr>
            <w:tcW w:w="3340" w:type="dxa"/>
            <w:vAlign w:val="center"/>
          </w:tcPr>
          <w:p w14:paraId="287C65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有企业内部合规管理相关制度文件：1.5分</w:t>
            </w:r>
          </w:p>
          <w:p w14:paraId="583EE8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有合规管理体系认证证书：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1分</w:t>
            </w:r>
          </w:p>
          <w:p w14:paraId="1E11FC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5C4D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6202CCCE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4A71B4C2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95086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376FC2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合规风险识别与评估</w:t>
            </w:r>
          </w:p>
        </w:tc>
        <w:tc>
          <w:tcPr>
            <w:tcW w:w="651" w:type="dxa"/>
            <w:vAlign w:val="center"/>
          </w:tcPr>
          <w:p w14:paraId="50CCA8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50" w:type="dxa"/>
            <w:vAlign w:val="center"/>
          </w:tcPr>
          <w:p w14:paraId="0886E5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899" w:type="dxa"/>
            <w:vAlign w:val="center"/>
          </w:tcPr>
          <w:p w14:paraId="22DE55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4947" w:type="dxa"/>
            <w:vAlign w:val="center"/>
          </w:tcPr>
          <w:p w14:paraId="43F34B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合规风险的识别与评估过程，并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采取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应对及控制举措，进一步提出有效性评价及改进方法</w:t>
            </w:r>
          </w:p>
        </w:tc>
        <w:tc>
          <w:tcPr>
            <w:tcW w:w="3340" w:type="dxa"/>
            <w:vAlign w:val="center"/>
          </w:tcPr>
          <w:p w14:paraId="705C54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有合规风险识别与评估流程说明：1.5分</w:t>
            </w:r>
          </w:p>
          <w:p w14:paraId="583534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有年度合规风险识别结果及改进情况：1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  <w:p w14:paraId="79AC64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6B84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7B873A80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1918F86D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6109C6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风险管理</w:t>
            </w:r>
          </w:p>
        </w:tc>
        <w:tc>
          <w:tcPr>
            <w:tcW w:w="1142" w:type="dxa"/>
            <w:vAlign w:val="center"/>
          </w:tcPr>
          <w:p w14:paraId="7EE097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风险管理制度与体系</w:t>
            </w:r>
          </w:p>
        </w:tc>
        <w:tc>
          <w:tcPr>
            <w:tcW w:w="651" w:type="dxa"/>
            <w:vAlign w:val="center"/>
          </w:tcPr>
          <w:p w14:paraId="798A76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650" w:type="dxa"/>
            <w:vAlign w:val="center"/>
          </w:tcPr>
          <w:p w14:paraId="086F05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899" w:type="dxa"/>
            <w:vAlign w:val="center"/>
          </w:tcPr>
          <w:p w14:paraId="37E714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4947" w:type="dxa"/>
            <w:vAlign w:val="center"/>
          </w:tcPr>
          <w:p w14:paraId="06EFD1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制定风险管理政策及设立自上而下的风险管理架构，定期审阅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风险管理及内部监控系统的成效，不断强化风险管理</w:t>
            </w:r>
          </w:p>
        </w:tc>
        <w:tc>
          <w:tcPr>
            <w:tcW w:w="3340" w:type="dxa"/>
            <w:vAlign w:val="center"/>
          </w:tcPr>
          <w:p w14:paraId="4E653A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有风险管理制度：1.5分</w:t>
            </w:r>
          </w:p>
          <w:p w14:paraId="2EF67D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有风险管理架构及权责说明：1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  <w:p w14:paraId="479FF9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</w:tbl>
    <w:p w14:paraId="4BDC2441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142"/>
        <w:gridCol w:w="651"/>
        <w:gridCol w:w="650"/>
        <w:gridCol w:w="899"/>
        <w:gridCol w:w="5230"/>
        <w:gridCol w:w="3057"/>
      </w:tblGrid>
      <w:tr w14:paraId="5DCD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0DA76E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3F8247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6A8F1B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42" w:type="dxa"/>
            <w:shd w:val="clear" w:color="auto" w:fill="D7D7D7" w:themeFill="background1" w:themeFillShade="D8"/>
            <w:vAlign w:val="center"/>
          </w:tcPr>
          <w:p w14:paraId="608A3F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1" w:type="dxa"/>
            <w:shd w:val="clear" w:color="auto" w:fill="D7D7D7" w:themeFill="background1" w:themeFillShade="D8"/>
            <w:vAlign w:val="center"/>
          </w:tcPr>
          <w:p w14:paraId="32AE84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shd w:val="clear" w:color="auto" w:fill="D7D7D7" w:themeFill="background1" w:themeFillShade="D8"/>
            <w:vAlign w:val="center"/>
          </w:tcPr>
          <w:p w14:paraId="1003D6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899" w:type="dxa"/>
            <w:shd w:val="clear" w:color="auto" w:fill="D7D7D7" w:themeFill="background1" w:themeFillShade="D8"/>
            <w:vAlign w:val="center"/>
          </w:tcPr>
          <w:p w14:paraId="7F20B2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230" w:type="dxa"/>
            <w:shd w:val="clear" w:color="auto" w:fill="D7D7D7" w:themeFill="background1" w:themeFillShade="D8"/>
            <w:vAlign w:val="center"/>
          </w:tcPr>
          <w:p w14:paraId="229C04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3C1032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3C03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0D7A1896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治理</w:t>
            </w:r>
          </w:p>
          <w:p w14:paraId="5916068B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（38.5分）</w:t>
            </w:r>
          </w:p>
        </w:tc>
        <w:tc>
          <w:tcPr>
            <w:tcW w:w="786" w:type="dxa"/>
            <w:vMerge w:val="restart"/>
            <w:vAlign w:val="center"/>
          </w:tcPr>
          <w:p w14:paraId="41C785C5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治理机制</w:t>
            </w:r>
          </w:p>
          <w:p w14:paraId="63D2763C">
            <w:pPr>
              <w:spacing w:line="240" w:lineRule="auto"/>
              <w:ind w:left="0" w:lef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（32.5分）</w:t>
            </w:r>
          </w:p>
        </w:tc>
        <w:tc>
          <w:tcPr>
            <w:tcW w:w="843" w:type="dxa"/>
            <w:vAlign w:val="center"/>
          </w:tcPr>
          <w:p w14:paraId="0258F1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7027C0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风险识别与评估</w:t>
            </w:r>
          </w:p>
        </w:tc>
        <w:tc>
          <w:tcPr>
            <w:tcW w:w="651" w:type="dxa"/>
            <w:vAlign w:val="center"/>
          </w:tcPr>
          <w:p w14:paraId="3641CD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650" w:type="dxa"/>
            <w:vAlign w:val="center"/>
          </w:tcPr>
          <w:p w14:paraId="42EB6F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899" w:type="dxa"/>
            <w:vAlign w:val="center"/>
          </w:tcPr>
          <w:p w14:paraId="2FF206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692ABC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对业务可持续性计划风险予以识别和评估并报告，包括涉及的风险类型和评估方法，以及基于评估结果采取的相应措施</w:t>
            </w:r>
          </w:p>
        </w:tc>
        <w:tc>
          <w:tcPr>
            <w:tcW w:w="3057" w:type="dxa"/>
            <w:vAlign w:val="center"/>
          </w:tcPr>
          <w:p w14:paraId="630E1D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有年度风险识别与评估情况说明：1.5分</w:t>
            </w:r>
          </w:p>
          <w:p w14:paraId="512B50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有年度风险应对措施与成效：1分</w:t>
            </w:r>
          </w:p>
          <w:p w14:paraId="31AE77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7B3C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2C26EC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58A0E7C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13BC20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高管薪酬</w:t>
            </w:r>
          </w:p>
        </w:tc>
        <w:tc>
          <w:tcPr>
            <w:tcW w:w="1142" w:type="dxa"/>
            <w:vAlign w:val="center"/>
          </w:tcPr>
          <w:p w14:paraId="57E7C7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高管薪酬与ESG绩效挂钩机制</w:t>
            </w:r>
          </w:p>
        </w:tc>
        <w:tc>
          <w:tcPr>
            <w:tcW w:w="651" w:type="dxa"/>
            <w:vAlign w:val="center"/>
          </w:tcPr>
          <w:p w14:paraId="0E35A3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650" w:type="dxa"/>
            <w:vAlign w:val="center"/>
          </w:tcPr>
          <w:p w14:paraId="3A2A34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899" w:type="dxa"/>
            <w:vAlign w:val="center"/>
          </w:tcPr>
          <w:p w14:paraId="7E43A2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142D6F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建立与ESG绩效挂钩的高管薪酬政策，并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有相关说明</w:t>
            </w:r>
          </w:p>
        </w:tc>
        <w:tc>
          <w:tcPr>
            <w:tcW w:w="3057" w:type="dxa"/>
            <w:vAlign w:val="center"/>
          </w:tcPr>
          <w:p w14:paraId="35EE21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建立相关政策或制度：1分</w:t>
            </w:r>
          </w:p>
          <w:p w14:paraId="74FE40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有政策或制度的具体说明：0.5分</w:t>
            </w:r>
          </w:p>
          <w:p w14:paraId="77C996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42D4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43BCBB48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5C75658E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1F73F0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ESG管理</w:t>
            </w:r>
          </w:p>
        </w:tc>
        <w:tc>
          <w:tcPr>
            <w:tcW w:w="1142" w:type="dxa"/>
            <w:vAlign w:val="center"/>
          </w:tcPr>
          <w:p w14:paraId="31218B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ESG信息披露</w:t>
            </w:r>
          </w:p>
        </w:tc>
        <w:tc>
          <w:tcPr>
            <w:tcW w:w="651" w:type="dxa"/>
            <w:vAlign w:val="center"/>
          </w:tcPr>
          <w:p w14:paraId="622D7C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650" w:type="dxa"/>
            <w:vAlign w:val="center"/>
          </w:tcPr>
          <w:p w14:paraId="58CE84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vAlign w:val="center"/>
          </w:tcPr>
          <w:p w14:paraId="4F1F10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589FDC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按时发布ESG报告，定期披露ESG信息</w:t>
            </w:r>
          </w:p>
        </w:tc>
        <w:tc>
          <w:tcPr>
            <w:tcW w:w="3057" w:type="dxa"/>
            <w:vAlign w:val="center"/>
          </w:tcPr>
          <w:p w14:paraId="23AF01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发布年度独立ESG或可持续发展报告：2分</w:t>
            </w:r>
          </w:p>
          <w:p w14:paraId="49AD43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在年报中进行ESG信息的详细披露：1.5分</w:t>
            </w:r>
          </w:p>
          <w:p w14:paraId="07026D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不披露或只在年报中进行简单披露（无详细说明、无数据）：0分</w:t>
            </w:r>
          </w:p>
        </w:tc>
      </w:tr>
      <w:tr w14:paraId="0134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2131D7E9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772C126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E584C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 w14:paraId="43EC414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ESG能力建设</w:t>
            </w:r>
          </w:p>
        </w:tc>
        <w:tc>
          <w:tcPr>
            <w:tcW w:w="651" w:type="dxa"/>
            <w:vAlign w:val="center"/>
          </w:tcPr>
          <w:p w14:paraId="2F0243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650" w:type="dxa"/>
            <w:vAlign w:val="center"/>
          </w:tcPr>
          <w:p w14:paraId="0D4F00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899" w:type="dxa"/>
            <w:vAlign w:val="center"/>
          </w:tcPr>
          <w:p w14:paraId="1F5860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230" w:type="dxa"/>
            <w:vAlign w:val="center"/>
          </w:tcPr>
          <w:p w14:paraId="29B008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开展ESG培训，提升企业ESG能力水平的情况，如覆盖范围、高管参与率等</w:t>
            </w:r>
          </w:p>
        </w:tc>
        <w:tc>
          <w:tcPr>
            <w:tcW w:w="3057" w:type="dxa"/>
            <w:vAlign w:val="center"/>
          </w:tcPr>
          <w:p w14:paraId="63A6FD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有年度ESG培训覆盖范围说明：1分</w:t>
            </w:r>
          </w:p>
          <w:p w14:paraId="312F60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有年度ESG培训企业高管（副总及以上）参与情况的说明：0.5分</w:t>
            </w:r>
          </w:p>
          <w:p w14:paraId="2EAB49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</w:tbl>
    <w:p w14:paraId="655F499B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t>表A.1 物业服务企业环境、社会和治理（ESG）评价指标体系及说明（续）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6"/>
        <w:gridCol w:w="843"/>
        <w:gridCol w:w="1398"/>
        <w:gridCol w:w="694"/>
        <w:gridCol w:w="684"/>
        <w:gridCol w:w="741"/>
        <w:gridCol w:w="5055"/>
        <w:gridCol w:w="3057"/>
      </w:tblGrid>
      <w:tr w14:paraId="1ED7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7D7D7" w:themeFill="background1" w:themeFillShade="D8"/>
            <w:vAlign w:val="center"/>
          </w:tcPr>
          <w:p w14:paraId="07CA5A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786" w:type="dxa"/>
            <w:shd w:val="clear" w:color="auto" w:fill="D7D7D7" w:themeFill="background1" w:themeFillShade="D8"/>
            <w:vAlign w:val="center"/>
          </w:tcPr>
          <w:p w14:paraId="1279C7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 w14:paraId="352BB5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98" w:type="dxa"/>
            <w:shd w:val="clear" w:color="auto" w:fill="D7D7D7" w:themeFill="background1" w:themeFillShade="D8"/>
            <w:vAlign w:val="center"/>
          </w:tcPr>
          <w:p w14:paraId="2AC515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94" w:type="dxa"/>
            <w:shd w:val="clear" w:color="auto" w:fill="D7D7D7" w:themeFill="background1" w:themeFillShade="D8"/>
            <w:vAlign w:val="center"/>
          </w:tcPr>
          <w:p w14:paraId="2684B9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dxa"/>
            <w:shd w:val="clear" w:color="auto" w:fill="D7D7D7" w:themeFill="background1" w:themeFillShade="D8"/>
            <w:vAlign w:val="center"/>
          </w:tcPr>
          <w:p w14:paraId="3EED05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741" w:type="dxa"/>
            <w:shd w:val="clear" w:color="auto" w:fill="D7D7D7" w:themeFill="background1" w:themeFillShade="D8"/>
            <w:vAlign w:val="center"/>
          </w:tcPr>
          <w:p w14:paraId="1EC587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5055" w:type="dxa"/>
            <w:shd w:val="clear" w:color="auto" w:fill="D7D7D7" w:themeFill="background1" w:themeFillShade="D8"/>
            <w:vAlign w:val="center"/>
          </w:tcPr>
          <w:p w14:paraId="6C8AB4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45F71C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评分说明</w:t>
            </w:r>
          </w:p>
        </w:tc>
      </w:tr>
      <w:tr w14:paraId="2D77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01BA2786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治理</w:t>
            </w:r>
          </w:p>
          <w:p w14:paraId="3212D5FA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（38.5分）</w:t>
            </w:r>
          </w:p>
        </w:tc>
        <w:tc>
          <w:tcPr>
            <w:tcW w:w="786" w:type="dxa"/>
            <w:vMerge w:val="restart"/>
            <w:vAlign w:val="center"/>
          </w:tcPr>
          <w:p w14:paraId="3D89B414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治理机制</w:t>
            </w:r>
          </w:p>
          <w:p w14:paraId="57CF03BD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（32.5分）</w:t>
            </w:r>
          </w:p>
        </w:tc>
        <w:tc>
          <w:tcPr>
            <w:tcW w:w="843" w:type="dxa"/>
            <w:vMerge w:val="restart"/>
            <w:vAlign w:val="center"/>
          </w:tcPr>
          <w:p w14:paraId="00C668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ESG管理</w:t>
            </w:r>
          </w:p>
        </w:tc>
        <w:tc>
          <w:tcPr>
            <w:tcW w:w="1398" w:type="dxa"/>
            <w:vAlign w:val="center"/>
          </w:tcPr>
          <w:p w14:paraId="57A9C0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利益相关方识别、磋商与实践</w:t>
            </w:r>
          </w:p>
        </w:tc>
        <w:tc>
          <w:tcPr>
            <w:tcW w:w="694" w:type="dxa"/>
            <w:vAlign w:val="center"/>
          </w:tcPr>
          <w:p w14:paraId="10006C3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684" w:type="dxa"/>
            <w:vAlign w:val="center"/>
          </w:tcPr>
          <w:p w14:paraId="028593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741" w:type="dxa"/>
            <w:vAlign w:val="center"/>
          </w:tcPr>
          <w:p w14:paraId="2CB7C6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055" w:type="dxa"/>
            <w:vAlign w:val="center"/>
          </w:tcPr>
          <w:p w14:paraId="22BC94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识别并明确利益相关方，建立沟通机制的情况</w:t>
            </w:r>
          </w:p>
        </w:tc>
        <w:tc>
          <w:tcPr>
            <w:tcW w:w="3057" w:type="dxa"/>
            <w:vAlign w:val="center"/>
          </w:tcPr>
          <w:p w14:paraId="5A73D2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有外部利益相关方识别及沟通机制：0.5分</w:t>
            </w:r>
          </w:p>
          <w:p w14:paraId="465A93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有内部利益相关方沟通机制：0.5分</w:t>
            </w:r>
          </w:p>
          <w:p w14:paraId="35999F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有年度利益相关方沟通情况说明：0.5分</w:t>
            </w:r>
          </w:p>
          <w:p w14:paraId="405AE2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皆无：0分</w:t>
            </w:r>
          </w:p>
        </w:tc>
      </w:tr>
      <w:tr w14:paraId="1A7B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5B0319C7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BD9E53B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6B511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vAlign w:val="center"/>
          </w:tcPr>
          <w:p w14:paraId="2549E3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第三方报告鉴证</w:t>
            </w:r>
          </w:p>
        </w:tc>
        <w:tc>
          <w:tcPr>
            <w:tcW w:w="694" w:type="dxa"/>
            <w:vAlign w:val="center"/>
          </w:tcPr>
          <w:p w14:paraId="3E59A5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684" w:type="dxa"/>
            <w:vAlign w:val="center"/>
          </w:tcPr>
          <w:p w14:paraId="6C1A21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vAlign w:val="center"/>
          </w:tcPr>
          <w:p w14:paraId="39B9F2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055" w:type="dxa"/>
            <w:vAlign w:val="center"/>
          </w:tcPr>
          <w:p w14:paraId="380E32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企业ESG/CSR/可持续发展报告或年度报告披露的相关信息经过了第三方独立鉴证</w:t>
            </w:r>
          </w:p>
        </w:tc>
        <w:tc>
          <w:tcPr>
            <w:tcW w:w="3057" w:type="dxa"/>
            <w:vAlign w:val="center"/>
          </w:tcPr>
          <w:p w14:paraId="268B6D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424764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66ED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7C51266D">
            <w:pPr>
              <w:spacing w:line="240" w:lineRule="auto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ADB40F4">
            <w:p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商业道德</w:t>
            </w:r>
          </w:p>
          <w:p w14:paraId="1F97769C">
            <w:pPr>
              <w:spacing w:line="240" w:lineRule="auto"/>
              <w:ind w:left="0" w:leftChars="0" w:firstLine="0" w:firstLineChars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843" w:type="dxa"/>
            <w:vMerge w:val="restart"/>
            <w:vAlign w:val="center"/>
          </w:tcPr>
          <w:p w14:paraId="0D62EF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反腐败与反商业贿赂</w:t>
            </w:r>
          </w:p>
        </w:tc>
        <w:tc>
          <w:tcPr>
            <w:tcW w:w="1398" w:type="dxa"/>
            <w:vAlign w:val="center"/>
          </w:tcPr>
          <w:p w14:paraId="684520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反腐败、反商业贿赂制度</w:t>
            </w:r>
          </w:p>
        </w:tc>
        <w:tc>
          <w:tcPr>
            <w:tcW w:w="694" w:type="dxa"/>
            <w:vAlign w:val="center"/>
          </w:tcPr>
          <w:p w14:paraId="6C0113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684" w:type="dxa"/>
            <w:vAlign w:val="center"/>
          </w:tcPr>
          <w:p w14:paraId="4961BB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vAlign w:val="center"/>
          </w:tcPr>
          <w:p w14:paraId="5FE5A4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055" w:type="dxa"/>
            <w:vAlign w:val="center"/>
          </w:tcPr>
          <w:p w14:paraId="120D96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企业反腐败、反商业贿赂的制度文件，如员工行为准则、举报制度等</w:t>
            </w:r>
          </w:p>
        </w:tc>
        <w:tc>
          <w:tcPr>
            <w:tcW w:w="3057" w:type="dxa"/>
            <w:vAlign w:val="center"/>
          </w:tcPr>
          <w:p w14:paraId="3B7A2A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50C850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2999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38969C68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2A310273">
            <w:pPr>
              <w:spacing w:line="240" w:lineRule="auto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936DC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vAlign w:val="center"/>
          </w:tcPr>
          <w:p w14:paraId="34D05C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腐败、贿赂事件</w:t>
            </w:r>
          </w:p>
        </w:tc>
        <w:tc>
          <w:tcPr>
            <w:tcW w:w="694" w:type="dxa"/>
            <w:vAlign w:val="center"/>
          </w:tcPr>
          <w:p w14:paraId="2E248E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684" w:type="dxa"/>
            <w:vAlign w:val="center"/>
          </w:tcPr>
          <w:p w14:paraId="32490D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vAlign w:val="center"/>
          </w:tcPr>
          <w:p w14:paraId="281166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</w:t>
            </w:r>
          </w:p>
        </w:tc>
        <w:tc>
          <w:tcPr>
            <w:tcW w:w="5055" w:type="dxa"/>
            <w:vAlign w:val="center"/>
          </w:tcPr>
          <w:p w14:paraId="55EE7F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因商业贿赂或贪污被处分、调查、诉讼的事件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3057" w:type="dxa"/>
            <w:vAlign w:val="center"/>
          </w:tcPr>
          <w:p w14:paraId="2FB1D6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无：1分</w:t>
            </w:r>
          </w:p>
          <w:p w14:paraId="4A43B5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有：0分</w:t>
            </w:r>
          </w:p>
        </w:tc>
      </w:tr>
      <w:tr w14:paraId="2511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4" w:type="dxa"/>
            <w:vMerge w:val="continue"/>
          </w:tcPr>
          <w:p w14:paraId="5E410D24">
            <w:pPr>
              <w:spacing w:line="240" w:lineRule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</w:tcPr>
          <w:p w14:paraId="203E56FC">
            <w:pPr>
              <w:spacing w:line="240" w:lineRule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C57D9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vAlign w:val="center"/>
          </w:tcPr>
          <w:p w14:paraId="1A3234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反腐败、反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商业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贿赂培训</w:t>
            </w:r>
          </w:p>
        </w:tc>
        <w:tc>
          <w:tcPr>
            <w:tcW w:w="694" w:type="dxa"/>
            <w:vAlign w:val="center"/>
          </w:tcPr>
          <w:p w14:paraId="5F4D77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vAlign w:val="center"/>
          </w:tcPr>
          <w:p w14:paraId="2E4AEC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vAlign w:val="center"/>
          </w:tcPr>
          <w:p w14:paraId="6FB93F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055" w:type="dxa"/>
            <w:vAlign w:val="center"/>
          </w:tcPr>
          <w:p w14:paraId="7BBD77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反腐败、反贿赂培训覆盖人数、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覆盖比例、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总时长等</w:t>
            </w:r>
          </w:p>
        </w:tc>
        <w:tc>
          <w:tcPr>
            <w:tcW w:w="3057" w:type="dxa"/>
            <w:vAlign w:val="center"/>
          </w:tcPr>
          <w:p w14:paraId="74D4D4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5DDAEE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5A2E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</w:tcPr>
          <w:p w14:paraId="4B48FE30">
            <w:pPr>
              <w:spacing w:line="240" w:lineRule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</w:tcPr>
          <w:p w14:paraId="4A5B369A">
            <w:pPr>
              <w:spacing w:line="240" w:lineRule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23CE32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公平竞争</w:t>
            </w:r>
          </w:p>
        </w:tc>
        <w:tc>
          <w:tcPr>
            <w:tcW w:w="1398" w:type="dxa"/>
            <w:vAlign w:val="center"/>
          </w:tcPr>
          <w:p w14:paraId="444704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反不正当竞争</w:t>
            </w:r>
          </w:p>
        </w:tc>
        <w:tc>
          <w:tcPr>
            <w:tcW w:w="694" w:type="dxa"/>
            <w:vAlign w:val="center"/>
          </w:tcPr>
          <w:p w14:paraId="34D6E3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684" w:type="dxa"/>
            <w:vAlign w:val="center"/>
          </w:tcPr>
          <w:p w14:paraId="646E95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vAlign w:val="center"/>
          </w:tcPr>
          <w:p w14:paraId="5B984A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055" w:type="dxa"/>
            <w:vAlign w:val="center"/>
          </w:tcPr>
          <w:p w14:paraId="555732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为防范不正当竞争行为（如虚假宣传、实施垄断行为、侵犯商业秘密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、侵犯知识产权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等）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颁布的制度或声明等</w:t>
            </w:r>
          </w:p>
        </w:tc>
        <w:tc>
          <w:tcPr>
            <w:tcW w:w="3057" w:type="dxa"/>
            <w:vAlign w:val="center"/>
          </w:tcPr>
          <w:p w14:paraId="77310B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1556BB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  <w:tr w14:paraId="1582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4" w:type="dxa"/>
            <w:vMerge w:val="continue"/>
          </w:tcPr>
          <w:p w14:paraId="53D44424">
            <w:pPr>
              <w:spacing w:line="240" w:lineRule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</w:tcPr>
          <w:p w14:paraId="34DF2497">
            <w:pPr>
              <w:spacing w:line="240" w:lineRule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</w:tcPr>
          <w:p w14:paraId="1C4B473A">
            <w:pPr>
              <w:spacing w:line="240" w:lineRule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98" w:type="dxa"/>
            <w:vAlign w:val="center"/>
          </w:tcPr>
          <w:p w14:paraId="44A500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垄断事件</w:t>
            </w:r>
          </w:p>
        </w:tc>
        <w:tc>
          <w:tcPr>
            <w:tcW w:w="694" w:type="dxa"/>
            <w:vAlign w:val="center"/>
          </w:tcPr>
          <w:p w14:paraId="0D0093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684" w:type="dxa"/>
            <w:vAlign w:val="center"/>
          </w:tcPr>
          <w:p w14:paraId="63832F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vAlign w:val="center"/>
          </w:tcPr>
          <w:p w14:paraId="2E8279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</w:t>
            </w:r>
          </w:p>
        </w:tc>
        <w:tc>
          <w:tcPr>
            <w:tcW w:w="5055" w:type="dxa"/>
            <w:vAlign w:val="center"/>
          </w:tcPr>
          <w:p w14:paraId="2AF8CC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企业因垄断行为受到处罚的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3057" w:type="dxa"/>
            <w:vAlign w:val="center"/>
          </w:tcPr>
          <w:p w14:paraId="2F8A10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无：1分  </w:t>
            </w:r>
          </w:p>
          <w:p w14:paraId="18D470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有：0分</w:t>
            </w:r>
          </w:p>
        </w:tc>
      </w:tr>
      <w:tr w14:paraId="0C62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58CFC754">
            <w:pPr>
              <w:spacing w:line="240" w:lineRule="auto"/>
              <w:ind w:left="0" w:leftChars="0" w:firstLine="0" w:firstLineChars="0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64A8D985">
            <w:pPr>
              <w:spacing w:line="240" w:lineRule="auto"/>
              <w:ind w:left="0" w:lef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67A9E9C">
            <w:pPr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98" w:type="dxa"/>
            <w:vAlign w:val="center"/>
          </w:tcPr>
          <w:p w14:paraId="11BD69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反不正当竞争培训</w:t>
            </w:r>
          </w:p>
        </w:tc>
        <w:tc>
          <w:tcPr>
            <w:tcW w:w="694" w:type="dxa"/>
            <w:vAlign w:val="center"/>
          </w:tcPr>
          <w:p w14:paraId="0AF557E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684" w:type="dxa"/>
            <w:vAlign w:val="center"/>
          </w:tcPr>
          <w:p w14:paraId="3D84A9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vAlign w:val="center"/>
          </w:tcPr>
          <w:p w14:paraId="590DA5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5055" w:type="dxa"/>
            <w:vAlign w:val="center"/>
          </w:tcPr>
          <w:p w14:paraId="4CAB28E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反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不正当竞争培训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覆盖人数、</w:t>
            </w: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覆盖比例、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总时长等</w:t>
            </w:r>
          </w:p>
        </w:tc>
        <w:tc>
          <w:tcPr>
            <w:tcW w:w="3057" w:type="dxa"/>
            <w:vAlign w:val="center"/>
          </w:tcPr>
          <w:p w14:paraId="744C1C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有：1分</w:t>
            </w:r>
          </w:p>
          <w:p w14:paraId="20A597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无：0分</w:t>
            </w:r>
          </w:p>
        </w:tc>
      </w:tr>
    </w:tbl>
    <w:p w14:paraId="05424909">
      <w:r>
        <w:br w:type="page"/>
      </w:r>
    </w:p>
    <w:p w14:paraId="0A5E0A0C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  <w:sectPr>
          <w:footerReference r:id="rId9" w:type="default"/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971EF9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640" w:beforeLines="0" w:after="200" w:afterLines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44"/>
          <w:sz w:val="21"/>
          <w:szCs w:val="21"/>
          <w:highlight w:val="none"/>
          <w:lang w:val="en-US" w:eastAsia="zh-CN" w:bidi="ar-SA"/>
        </w:rPr>
      </w:pPr>
      <w:bookmarkStart w:id="184" w:name="_Toc8111"/>
      <w:bookmarkStart w:id="185" w:name="_Toc11819"/>
      <w:bookmarkStart w:id="186" w:name="_Toc387315110"/>
      <w:bookmarkStart w:id="187" w:name="_Toc22673"/>
      <w:r>
        <w:rPr>
          <w:rFonts w:hint="eastAsia"/>
          <w:b w:val="0"/>
          <w:bCs w:val="0"/>
          <w:sz w:val="21"/>
          <w:szCs w:val="21"/>
          <w:lang w:val="en-US" w:eastAsia="zh-CN"/>
        </w:rPr>
        <w:t>参 考 文 献</w:t>
      </w:r>
      <w:bookmarkEnd w:id="184"/>
      <w:bookmarkEnd w:id="185"/>
      <w:bookmarkEnd w:id="186"/>
      <w:bookmarkEnd w:id="187"/>
    </w:p>
    <w:p w14:paraId="3B9A8C1F">
      <w:pPr>
        <w:spacing w:line="240" w:lineRule="auto"/>
        <w:ind w:firstLine="420" w:firstLineChars="200"/>
        <w:rPr>
          <w:rFonts w:hint="eastAsia" w:ascii="Times New Roman" w:hAnsi="Times New Roman" w:cs="Times New Roman" w:eastAsiaTheme="minorEastAsia"/>
          <w:b w:val="0"/>
          <w:bCs w:val="0"/>
          <w:kern w:val="0"/>
          <w:sz w:val="21"/>
          <w:szCs w:val="21"/>
          <w:lang w:eastAsia="zh-CN"/>
        </w:rPr>
      </w:pPr>
      <w:bookmarkStart w:id="188" w:name="_Toc2787"/>
      <w:r>
        <w:rPr>
          <w:rFonts w:hint="eastAsia" w:ascii="宋体"/>
          <w:kern w:val="0"/>
          <w:sz w:val="21"/>
          <w:szCs w:val="21"/>
          <w:highlight w:val="none"/>
        </w:rPr>
        <w:t>[1]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>GB/T 19580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>卓越绩效评价准则</w:t>
      </w:r>
    </w:p>
    <w:p w14:paraId="47708C89">
      <w:pPr>
        <w:spacing w:line="24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ascii="宋体"/>
          <w:kern w:val="0"/>
          <w:sz w:val="21"/>
          <w:szCs w:val="21"/>
          <w:highlight w:val="none"/>
        </w:rPr>
        <w:t>[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/>
          <w:kern w:val="0"/>
          <w:sz w:val="21"/>
          <w:szCs w:val="21"/>
          <w:highlight w:val="none"/>
        </w:rPr>
        <w:t>]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>GB/T 26317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>公司治理风险管理指南</w:t>
      </w:r>
    </w:p>
    <w:p w14:paraId="1778842B">
      <w:pPr>
        <w:spacing w:line="240" w:lineRule="auto"/>
        <w:ind w:left="0" w:leftChars="0" w:firstLine="420" w:firstLineChars="200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</w:pPr>
      <w:r>
        <w:rPr>
          <w:rFonts w:hint="eastAsia" w:ascii="宋体"/>
          <w:kern w:val="0"/>
          <w:sz w:val="21"/>
          <w:szCs w:val="21"/>
          <w:highlight w:val="none"/>
        </w:rPr>
        <w:t>[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/>
          <w:kern w:val="0"/>
          <w:sz w:val="21"/>
          <w:szCs w:val="21"/>
          <w:highlight w:val="none"/>
        </w:rPr>
        <w:t>]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>GB/T 24001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>环境管理体系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>要求及使用指南</w:t>
      </w:r>
    </w:p>
    <w:p w14:paraId="35020C83">
      <w:pPr>
        <w:spacing w:line="240" w:lineRule="auto"/>
        <w:ind w:left="0" w:leftChars="0" w:firstLine="420" w:firstLineChars="200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</w:pPr>
      <w:r>
        <w:rPr>
          <w:rFonts w:hint="eastAsia" w:ascii="宋体"/>
          <w:kern w:val="0"/>
          <w:sz w:val="21"/>
          <w:szCs w:val="21"/>
          <w:highlight w:val="none"/>
        </w:rPr>
        <w:t>[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/>
          <w:kern w:val="0"/>
          <w:sz w:val="21"/>
          <w:szCs w:val="21"/>
          <w:highlight w:val="none"/>
        </w:rPr>
        <w:t>]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GB/T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36000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社会责任指南</w:t>
      </w:r>
    </w:p>
    <w:p w14:paraId="4886AC2F">
      <w:pPr>
        <w:spacing w:line="240" w:lineRule="auto"/>
        <w:ind w:left="0" w:leftChars="0" w:firstLine="420" w:firstLineChars="200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/>
          <w:kern w:val="0"/>
          <w:sz w:val="21"/>
          <w:szCs w:val="21"/>
          <w:highlight w:val="none"/>
        </w:rPr>
        <w:t>[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/>
          <w:kern w:val="0"/>
          <w:sz w:val="21"/>
          <w:szCs w:val="21"/>
          <w:highlight w:val="none"/>
        </w:rPr>
        <w:t>]</w:t>
      </w:r>
      <w:bookmarkEnd w:id="188"/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ISO 26000-2010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社会责任指南</w:t>
      </w:r>
    </w:p>
    <w:p w14:paraId="60E15B39">
      <w:pPr>
        <w:spacing w:line="240" w:lineRule="auto"/>
        <w:ind w:firstLine="420" w:firstLineChars="200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/>
          <w:kern w:val="0"/>
          <w:sz w:val="21"/>
          <w:szCs w:val="21"/>
          <w:highlight w:val="none"/>
        </w:rPr>
        <w:t>[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/>
          <w:kern w:val="0"/>
          <w:sz w:val="21"/>
          <w:szCs w:val="21"/>
          <w:highlight w:val="none"/>
        </w:rPr>
        <w:t>]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企业可持续披露准则——基本准则（试行）</w:t>
      </w:r>
    </w:p>
    <w:p w14:paraId="3197440C">
      <w:pPr>
        <w:spacing w:line="240" w:lineRule="auto"/>
        <w:ind w:firstLine="420" w:firstLineChars="200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/>
          <w:kern w:val="0"/>
          <w:sz w:val="21"/>
          <w:szCs w:val="21"/>
          <w:highlight w:val="none"/>
        </w:rPr>
        <w:t>[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/>
          <w:kern w:val="0"/>
          <w:sz w:val="21"/>
          <w:szCs w:val="21"/>
          <w:highlight w:val="none"/>
        </w:rPr>
        <w:t>]</w:t>
      </w:r>
      <w:r>
        <w:rPr>
          <w:rFonts w:hint="eastAsia" w:ascii="宋体"/>
          <w:kern w:val="0"/>
          <w:szCs w:val="20"/>
          <w:highlight w:val="none"/>
        </w:rPr>
        <w:t> 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企业可持续披露准则第1号——气候（试行）</w:t>
      </w:r>
    </w:p>
    <w:p w14:paraId="6EE446C1">
      <w:pPr>
        <w:spacing w:line="240" w:lineRule="auto"/>
        <w:ind w:firstLine="420" w:firstLineChars="200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/>
          <w:kern w:val="0"/>
          <w:sz w:val="21"/>
          <w:szCs w:val="21"/>
          <w:highlight w:val="none"/>
        </w:rPr>
        <w:t>[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/>
          <w:kern w:val="0"/>
          <w:sz w:val="21"/>
          <w:szCs w:val="21"/>
          <w:highlight w:val="none"/>
        </w:rPr>
        <w:t>]</w:t>
      </w:r>
      <w:r>
        <w:rPr>
          <w:rFonts w:hint="eastAsia" w:ascii="宋体"/>
          <w:kern w:val="0"/>
          <w:szCs w:val="20"/>
          <w:highlight w:val="none"/>
        </w:rPr>
        <w:t> 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上市公司可持续发展报告指引</w:t>
      </w:r>
    </w:p>
    <w:p w14:paraId="7547CC41">
      <w:pPr>
        <w:spacing w:line="240" w:lineRule="auto"/>
        <w:ind w:firstLine="420" w:firstLineChars="200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/>
          <w:kern w:val="0"/>
          <w:sz w:val="21"/>
          <w:szCs w:val="21"/>
          <w:highlight w:val="none"/>
        </w:rPr>
        <w:t>[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/>
          <w:kern w:val="0"/>
          <w:sz w:val="21"/>
          <w:szCs w:val="21"/>
          <w:highlight w:val="none"/>
        </w:rPr>
        <w:t>]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联合国可持续发展目标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SDGs</w:t>
      </w:r>
    </w:p>
    <w:p w14:paraId="72E6C344">
      <w:pPr>
        <w:spacing w:line="240" w:lineRule="auto"/>
        <w:ind w:left="0" w:leftChars="0" w:firstLine="420" w:firstLineChars="200"/>
        <w:rPr>
          <w:rFonts w:hint="eastAsia" w:ascii="Times New Roman" w:hAnsi="Times New Roman" w:cs="Times New Roman" w:eastAsiaTheme="minorEastAsia"/>
          <w:b w:val="0"/>
          <w:bCs w:val="0"/>
          <w:kern w:val="0"/>
          <w:sz w:val="21"/>
          <w:szCs w:val="21"/>
          <w:lang w:eastAsia="zh-CN"/>
        </w:rPr>
      </w:pPr>
      <w:r>
        <w:rPr>
          <w:rFonts w:hint="eastAsia" w:ascii="宋体"/>
          <w:kern w:val="0"/>
          <w:sz w:val="21"/>
          <w:szCs w:val="21"/>
          <w:highlight w:val="none"/>
        </w:rPr>
        <w:t>[1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/>
          <w:kern w:val="0"/>
          <w:sz w:val="21"/>
          <w:szCs w:val="21"/>
          <w:highlight w:val="none"/>
        </w:rPr>
        <w:t>]</w:t>
      </w:r>
      <w:r>
        <w:rPr>
          <w:rFonts w:hint="eastAsia" w:ascii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GRI Sustainability Reporting Standards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GRI Standards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)</w:t>
      </w:r>
    </w:p>
    <w:p w14:paraId="1C6E2508">
      <w:pPr>
        <w:ind w:left="0" w:leftChars="0" w:firstLine="0" w:firstLineChars="0"/>
        <w:jc w:val="center"/>
        <w:rPr>
          <w:rFonts w:hint="eastAsia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</w:p>
    <w:sectPr>
      <w:footerReference r:id="rId10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98EE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7CC4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7CC4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E4B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16A7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116A7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1092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5BC3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5BC3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9501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D887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3D887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4D8C8">
    <w:pPr>
      <w:pStyle w:val="8"/>
      <w:pBdr>
        <w:bottom w:val="none" w:color="auto" w:sz="0" w:space="1"/>
      </w:pBdr>
      <w:jc w:val="right"/>
    </w:pPr>
    <w:r>
      <w:rPr>
        <w:rFonts w:ascii="黑体" w:hAnsi="黑体" w:eastAsia="黑体"/>
        <w:color w:val="000000" w:themeColor="text1"/>
        <w14:textFill>
          <w14:solidFill>
            <w14:schemeClr w14:val="tx1"/>
          </w14:solidFill>
        </w14:textFill>
      </w:rPr>
      <w:t>T/CPMI 0</w:t>
    </w:r>
    <w:r>
      <w:rPr>
        <w:rFonts w:hint="eastAsia" w:ascii="黑体" w:hAnsi="黑体" w:eastAsia="黑体"/>
        <w:color w:val="000000" w:themeColor="text1"/>
        <w:lang w:val="en-US" w:eastAsia="zh-CN"/>
        <w14:textFill>
          <w14:solidFill>
            <w14:schemeClr w14:val="tx1"/>
          </w14:solidFill>
        </w14:textFill>
      </w:rPr>
      <w:t>XX</w:t>
    </w:r>
    <w:r>
      <w:rPr>
        <w:rFonts w:ascii="黑体" w:hAnsi="黑体" w:eastAsia="黑体"/>
        <w:color w:val="000000" w:themeColor="text1"/>
        <w14:textFill>
          <w14:solidFill>
            <w14:schemeClr w14:val="tx1"/>
          </w14:solidFill>
        </w14:textFill>
      </w:rPr>
      <w:t>—202</w:t>
    </w:r>
    <w:r>
      <w:rPr>
        <w:rFonts w:hint="eastAsia" w:ascii="黑体" w:hAnsi="黑体" w:eastAsia="黑体"/>
        <w:color w:val="000000" w:themeColor="text1"/>
        <w:lang w:val="en-US" w:eastAsia="zh-CN"/>
        <w14:textFill>
          <w14:solidFill>
            <w14:schemeClr w14:val="tx1"/>
          </w14:solidFill>
        </w14:textFill>
      </w:rPr>
      <w:t>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A0F93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YTIzNTAyZjI4OGFiYjcwMTRiNWNmODJlNDMwMmEifQ=="/>
  </w:docVars>
  <w:rsids>
    <w:rsidRoot w:val="233073A6"/>
    <w:rsid w:val="004672B9"/>
    <w:rsid w:val="007A2E1A"/>
    <w:rsid w:val="01284C10"/>
    <w:rsid w:val="01961A2B"/>
    <w:rsid w:val="01BD7A4F"/>
    <w:rsid w:val="02B477F0"/>
    <w:rsid w:val="02C62933"/>
    <w:rsid w:val="02D56D52"/>
    <w:rsid w:val="032A2EC2"/>
    <w:rsid w:val="04096F7B"/>
    <w:rsid w:val="069A67CA"/>
    <w:rsid w:val="08850322"/>
    <w:rsid w:val="0887651F"/>
    <w:rsid w:val="092403B3"/>
    <w:rsid w:val="095D5764"/>
    <w:rsid w:val="0A997772"/>
    <w:rsid w:val="0AA03A6A"/>
    <w:rsid w:val="0B5B278E"/>
    <w:rsid w:val="0B5F3843"/>
    <w:rsid w:val="0BA3F78C"/>
    <w:rsid w:val="0BBE9750"/>
    <w:rsid w:val="0BCA5242"/>
    <w:rsid w:val="0C126BE9"/>
    <w:rsid w:val="0C460641"/>
    <w:rsid w:val="0D0958DF"/>
    <w:rsid w:val="0D275F62"/>
    <w:rsid w:val="0D2A3ABE"/>
    <w:rsid w:val="0D49488C"/>
    <w:rsid w:val="0EB21FBD"/>
    <w:rsid w:val="0EF7BAE1"/>
    <w:rsid w:val="0EFF16A6"/>
    <w:rsid w:val="0FDE03A8"/>
    <w:rsid w:val="0FED98AF"/>
    <w:rsid w:val="0FF6B45C"/>
    <w:rsid w:val="10060813"/>
    <w:rsid w:val="10254854"/>
    <w:rsid w:val="106C139F"/>
    <w:rsid w:val="10756994"/>
    <w:rsid w:val="108D4B5F"/>
    <w:rsid w:val="10D86EA2"/>
    <w:rsid w:val="110200A7"/>
    <w:rsid w:val="118F3AF7"/>
    <w:rsid w:val="11DE7B5B"/>
    <w:rsid w:val="11FFC718"/>
    <w:rsid w:val="1236497F"/>
    <w:rsid w:val="128B3251"/>
    <w:rsid w:val="12AC4DD0"/>
    <w:rsid w:val="12EBBA1E"/>
    <w:rsid w:val="12F5C91F"/>
    <w:rsid w:val="13B127AE"/>
    <w:rsid w:val="13C94587"/>
    <w:rsid w:val="14A24CDE"/>
    <w:rsid w:val="14C608F9"/>
    <w:rsid w:val="15963685"/>
    <w:rsid w:val="15A94E30"/>
    <w:rsid w:val="15D46CBD"/>
    <w:rsid w:val="15F77675"/>
    <w:rsid w:val="15FB4552"/>
    <w:rsid w:val="16EA1024"/>
    <w:rsid w:val="170351B2"/>
    <w:rsid w:val="17BE32D0"/>
    <w:rsid w:val="180716EA"/>
    <w:rsid w:val="18295846"/>
    <w:rsid w:val="187F9B98"/>
    <w:rsid w:val="18963FE5"/>
    <w:rsid w:val="19687E48"/>
    <w:rsid w:val="1A9609E5"/>
    <w:rsid w:val="1AAE3F81"/>
    <w:rsid w:val="1AB175CD"/>
    <w:rsid w:val="1AC91EB0"/>
    <w:rsid w:val="1AFF0991"/>
    <w:rsid w:val="1B3B0D0A"/>
    <w:rsid w:val="1B50306D"/>
    <w:rsid w:val="1BF703F6"/>
    <w:rsid w:val="1C077DEC"/>
    <w:rsid w:val="1C533032"/>
    <w:rsid w:val="1C5E435F"/>
    <w:rsid w:val="1CAF6AB7"/>
    <w:rsid w:val="1CE278FD"/>
    <w:rsid w:val="1D216C8C"/>
    <w:rsid w:val="1D7D36CE"/>
    <w:rsid w:val="1DDFC8A2"/>
    <w:rsid w:val="1DEE0706"/>
    <w:rsid w:val="1E55571E"/>
    <w:rsid w:val="1E8B218A"/>
    <w:rsid w:val="1E90231B"/>
    <w:rsid w:val="1EAF99EB"/>
    <w:rsid w:val="1EEC8058"/>
    <w:rsid w:val="1EEF8A98"/>
    <w:rsid w:val="1EF4A14A"/>
    <w:rsid w:val="1F391F78"/>
    <w:rsid w:val="1F3FB793"/>
    <w:rsid w:val="1F470E94"/>
    <w:rsid w:val="1F5FD818"/>
    <w:rsid w:val="1F7F5166"/>
    <w:rsid w:val="1F7FB324"/>
    <w:rsid w:val="1F83778A"/>
    <w:rsid w:val="1FCC7627"/>
    <w:rsid w:val="1FCF54B8"/>
    <w:rsid w:val="1FCF80E0"/>
    <w:rsid w:val="1FD77B61"/>
    <w:rsid w:val="1FFB37C4"/>
    <w:rsid w:val="1FFDB915"/>
    <w:rsid w:val="205B4833"/>
    <w:rsid w:val="2093568E"/>
    <w:rsid w:val="21A952CB"/>
    <w:rsid w:val="222F59A7"/>
    <w:rsid w:val="229E2B2D"/>
    <w:rsid w:val="22D87DED"/>
    <w:rsid w:val="233073A6"/>
    <w:rsid w:val="23356FED"/>
    <w:rsid w:val="236F0171"/>
    <w:rsid w:val="237B7989"/>
    <w:rsid w:val="239D0DA6"/>
    <w:rsid w:val="23BFBD64"/>
    <w:rsid w:val="24350677"/>
    <w:rsid w:val="2476535F"/>
    <w:rsid w:val="252C35AC"/>
    <w:rsid w:val="2536DF41"/>
    <w:rsid w:val="254A69B3"/>
    <w:rsid w:val="25EC2454"/>
    <w:rsid w:val="25FC040D"/>
    <w:rsid w:val="264D6D44"/>
    <w:rsid w:val="26722306"/>
    <w:rsid w:val="26D6C384"/>
    <w:rsid w:val="277F98C6"/>
    <w:rsid w:val="278A3680"/>
    <w:rsid w:val="278CE545"/>
    <w:rsid w:val="27A12394"/>
    <w:rsid w:val="27EFF011"/>
    <w:rsid w:val="282817BD"/>
    <w:rsid w:val="285857A7"/>
    <w:rsid w:val="28FC3D77"/>
    <w:rsid w:val="290F6532"/>
    <w:rsid w:val="29DF0251"/>
    <w:rsid w:val="2A8C319E"/>
    <w:rsid w:val="2AB77851"/>
    <w:rsid w:val="2B7F99B4"/>
    <w:rsid w:val="2B7FAB06"/>
    <w:rsid w:val="2C3342E6"/>
    <w:rsid w:val="2CC848F2"/>
    <w:rsid w:val="2CCF6918"/>
    <w:rsid w:val="2D820F28"/>
    <w:rsid w:val="2D93621A"/>
    <w:rsid w:val="2DCF0ECA"/>
    <w:rsid w:val="2DCF354C"/>
    <w:rsid w:val="2E7813DF"/>
    <w:rsid w:val="2E792818"/>
    <w:rsid w:val="2F7D8BBD"/>
    <w:rsid w:val="2F872A7B"/>
    <w:rsid w:val="2FAE838B"/>
    <w:rsid w:val="2FC75471"/>
    <w:rsid w:val="2FDF0620"/>
    <w:rsid w:val="2FEAEAB5"/>
    <w:rsid w:val="2FEDD7AF"/>
    <w:rsid w:val="2FF728D6"/>
    <w:rsid w:val="2FF79D97"/>
    <w:rsid w:val="2FFB76B0"/>
    <w:rsid w:val="2FFF0216"/>
    <w:rsid w:val="2FFF0E5D"/>
    <w:rsid w:val="2FFFA114"/>
    <w:rsid w:val="30211C3F"/>
    <w:rsid w:val="305D2219"/>
    <w:rsid w:val="30CA23FC"/>
    <w:rsid w:val="30DFB005"/>
    <w:rsid w:val="31855521"/>
    <w:rsid w:val="318F4576"/>
    <w:rsid w:val="31A737AC"/>
    <w:rsid w:val="32D7AB11"/>
    <w:rsid w:val="333170A5"/>
    <w:rsid w:val="3356A548"/>
    <w:rsid w:val="336EDC60"/>
    <w:rsid w:val="340F8B72"/>
    <w:rsid w:val="343E7CCC"/>
    <w:rsid w:val="347F4696"/>
    <w:rsid w:val="348EE023"/>
    <w:rsid w:val="351A12FE"/>
    <w:rsid w:val="352F81E2"/>
    <w:rsid w:val="355154E7"/>
    <w:rsid w:val="35BB5098"/>
    <w:rsid w:val="35E13DE3"/>
    <w:rsid w:val="35F50A4C"/>
    <w:rsid w:val="36106ED2"/>
    <w:rsid w:val="36625EF3"/>
    <w:rsid w:val="369D1ECB"/>
    <w:rsid w:val="36AF6C5F"/>
    <w:rsid w:val="36E7F67F"/>
    <w:rsid w:val="372C22FC"/>
    <w:rsid w:val="375FD09A"/>
    <w:rsid w:val="377EB96F"/>
    <w:rsid w:val="378E2D18"/>
    <w:rsid w:val="37A5635E"/>
    <w:rsid w:val="37AD00EA"/>
    <w:rsid w:val="37BD23E3"/>
    <w:rsid w:val="37BF2D97"/>
    <w:rsid w:val="37CD7E8C"/>
    <w:rsid w:val="37CFF2C0"/>
    <w:rsid w:val="37D29D26"/>
    <w:rsid w:val="37EB86BA"/>
    <w:rsid w:val="37F66F22"/>
    <w:rsid w:val="37FBB79B"/>
    <w:rsid w:val="37FBD755"/>
    <w:rsid w:val="37FD2020"/>
    <w:rsid w:val="3877C782"/>
    <w:rsid w:val="387B26F3"/>
    <w:rsid w:val="398A48B6"/>
    <w:rsid w:val="39AB86CD"/>
    <w:rsid w:val="39EE846D"/>
    <w:rsid w:val="39FD757C"/>
    <w:rsid w:val="3A3F65BF"/>
    <w:rsid w:val="3A7129B6"/>
    <w:rsid w:val="3A8F8FA7"/>
    <w:rsid w:val="3ADB3235"/>
    <w:rsid w:val="3AEBC443"/>
    <w:rsid w:val="3AEE9653"/>
    <w:rsid w:val="3B3B29FE"/>
    <w:rsid w:val="3B4F1501"/>
    <w:rsid w:val="3B581673"/>
    <w:rsid w:val="3B6E48FE"/>
    <w:rsid w:val="3B762C6C"/>
    <w:rsid w:val="3BAE03D6"/>
    <w:rsid w:val="3BF71DB0"/>
    <w:rsid w:val="3BFD35D9"/>
    <w:rsid w:val="3BFD9878"/>
    <w:rsid w:val="3BFDE195"/>
    <w:rsid w:val="3BFFCFD7"/>
    <w:rsid w:val="3C3D4D84"/>
    <w:rsid w:val="3C5397A6"/>
    <w:rsid w:val="3CA32DC2"/>
    <w:rsid w:val="3CBF7C85"/>
    <w:rsid w:val="3CD13DD3"/>
    <w:rsid w:val="3CE84748"/>
    <w:rsid w:val="3D7E9129"/>
    <w:rsid w:val="3DBFCD28"/>
    <w:rsid w:val="3DCBFD10"/>
    <w:rsid w:val="3DD34445"/>
    <w:rsid w:val="3DD7F329"/>
    <w:rsid w:val="3DD9574B"/>
    <w:rsid w:val="3DEAB95F"/>
    <w:rsid w:val="3DEF642A"/>
    <w:rsid w:val="3E0E070F"/>
    <w:rsid w:val="3E35B348"/>
    <w:rsid w:val="3E4F94AA"/>
    <w:rsid w:val="3E6F14B8"/>
    <w:rsid w:val="3E6FE495"/>
    <w:rsid w:val="3E7F60C9"/>
    <w:rsid w:val="3E7F68CB"/>
    <w:rsid w:val="3E9319E1"/>
    <w:rsid w:val="3EB21612"/>
    <w:rsid w:val="3EBA1E3D"/>
    <w:rsid w:val="3EC72204"/>
    <w:rsid w:val="3ED669AA"/>
    <w:rsid w:val="3EDF7EF5"/>
    <w:rsid w:val="3EDFEEE9"/>
    <w:rsid w:val="3EED9C57"/>
    <w:rsid w:val="3EFA5956"/>
    <w:rsid w:val="3EFA9842"/>
    <w:rsid w:val="3EFD3BAE"/>
    <w:rsid w:val="3F4F1DFA"/>
    <w:rsid w:val="3F5B649F"/>
    <w:rsid w:val="3F6D7C81"/>
    <w:rsid w:val="3FBA6DA0"/>
    <w:rsid w:val="3FBE762B"/>
    <w:rsid w:val="3FBFD6B9"/>
    <w:rsid w:val="3FCFEA63"/>
    <w:rsid w:val="3FEBE05A"/>
    <w:rsid w:val="3FECA0E1"/>
    <w:rsid w:val="3FF148AC"/>
    <w:rsid w:val="3FF25835"/>
    <w:rsid w:val="3FF4DE1C"/>
    <w:rsid w:val="3FF58F61"/>
    <w:rsid w:val="3FF728FA"/>
    <w:rsid w:val="3FF7A737"/>
    <w:rsid w:val="3FF8A078"/>
    <w:rsid w:val="3FFBCEAE"/>
    <w:rsid w:val="3FFD5C71"/>
    <w:rsid w:val="3FFF3DFB"/>
    <w:rsid w:val="3FFF42A8"/>
    <w:rsid w:val="3FFF5CA0"/>
    <w:rsid w:val="3FFF7927"/>
    <w:rsid w:val="3FFFB1C5"/>
    <w:rsid w:val="3FFFE4E0"/>
    <w:rsid w:val="405A124B"/>
    <w:rsid w:val="409F57AA"/>
    <w:rsid w:val="41826AFE"/>
    <w:rsid w:val="41894C7C"/>
    <w:rsid w:val="4278617C"/>
    <w:rsid w:val="42DC6DCF"/>
    <w:rsid w:val="42E27F91"/>
    <w:rsid w:val="42F55202"/>
    <w:rsid w:val="43235B2D"/>
    <w:rsid w:val="4353418F"/>
    <w:rsid w:val="43AE51C9"/>
    <w:rsid w:val="440037B4"/>
    <w:rsid w:val="441B4B52"/>
    <w:rsid w:val="4484172B"/>
    <w:rsid w:val="46B3F8BD"/>
    <w:rsid w:val="46BC1650"/>
    <w:rsid w:val="46D324F5"/>
    <w:rsid w:val="472965B9"/>
    <w:rsid w:val="476C390A"/>
    <w:rsid w:val="476E4DC7"/>
    <w:rsid w:val="478B4865"/>
    <w:rsid w:val="47BD795D"/>
    <w:rsid w:val="47C05B99"/>
    <w:rsid w:val="47F6CF33"/>
    <w:rsid w:val="47FED4BB"/>
    <w:rsid w:val="482E62B2"/>
    <w:rsid w:val="485F056A"/>
    <w:rsid w:val="487815A6"/>
    <w:rsid w:val="48AE6D76"/>
    <w:rsid w:val="49184B37"/>
    <w:rsid w:val="49411BD7"/>
    <w:rsid w:val="496F9C8A"/>
    <w:rsid w:val="49BBF12F"/>
    <w:rsid w:val="4A6A1DEB"/>
    <w:rsid w:val="4A8C056D"/>
    <w:rsid w:val="4B5736F5"/>
    <w:rsid w:val="4B7E1D5B"/>
    <w:rsid w:val="4B8F5DC2"/>
    <w:rsid w:val="4BBB5C17"/>
    <w:rsid w:val="4BDFCA5A"/>
    <w:rsid w:val="4C1A2804"/>
    <w:rsid w:val="4CCD8E7A"/>
    <w:rsid w:val="4D69E1FF"/>
    <w:rsid w:val="4DB6F6DD"/>
    <w:rsid w:val="4DFE6F6F"/>
    <w:rsid w:val="4DFF3D56"/>
    <w:rsid w:val="4E9F85B4"/>
    <w:rsid w:val="4EA30F2B"/>
    <w:rsid w:val="4EBF3394"/>
    <w:rsid w:val="4ED4E066"/>
    <w:rsid w:val="4EEE3B41"/>
    <w:rsid w:val="4F5FB3D8"/>
    <w:rsid w:val="4F79DDF6"/>
    <w:rsid w:val="4FBC28A4"/>
    <w:rsid w:val="4FC1651E"/>
    <w:rsid w:val="4FD07969"/>
    <w:rsid w:val="4FD2855F"/>
    <w:rsid w:val="4FD73056"/>
    <w:rsid w:val="4FD7665B"/>
    <w:rsid w:val="50FE6543"/>
    <w:rsid w:val="518068AD"/>
    <w:rsid w:val="51AF1210"/>
    <w:rsid w:val="52112C4E"/>
    <w:rsid w:val="524527F3"/>
    <w:rsid w:val="52716890"/>
    <w:rsid w:val="53560736"/>
    <w:rsid w:val="537E7EBA"/>
    <w:rsid w:val="53B59CF6"/>
    <w:rsid w:val="53EF0FF8"/>
    <w:rsid w:val="53FBB8B3"/>
    <w:rsid w:val="54265711"/>
    <w:rsid w:val="544C2359"/>
    <w:rsid w:val="549F3422"/>
    <w:rsid w:val="54AE00FE"/>
    <w:rsid w:val="54BFDE8A"/>
    <w:rsid w:val="551E1EDE"/>
    <w:rsid w:val="55243DEB"/>
    <w:rsid w:val="552F8596"/>
    <w:rsid w:val="552FCB51"/>
    <w:rsid w:val="554C3600"/>
    <w:rsid w:val="5555511D"/>
    <w:rsid w:val="557323CC"/>
    <w:rsid w:val="55779028"/>
    <w:rsid w:val="55802F6A"/>
    <w:rsid w:val="567315FF"/>
    <w:rsid w:val="56D47BA4"/>
    <w:rsid w:val="56EF897B"/>
    <w:rsid w:val="5725679C"/>
    <w:rsid w:val="572F3778"/>
    <w:rsid w:val="573ECECA"/>
    <w:rsid w:val="57AA26DC"/>
    <w:rsid w:val="57BC7018"/>
    <w:rsid w:val="57C6DC1E"/>
    <w:rsid w:val="57CF58DD"/>
    <w:rsid w:val="57CFA6F4"/>
    <w:rsid w:val="57D77037"/>
    <w:rsid w:val="57D815CF"/>
    <w:rsid w:val="57EC9EAF"/>
    <w:rsid w:val="57EF65D0"/>
    <w:rsid w:val="57F52204"/>
    <w:rsid w:val="57F84E76"/>
    <w:rsid w:val="57FF1EC5"/>
    <w:rsid w:val="58AC1CF5"/>
    <w:rsid w:val="58E44CE6"/>
    <w:rsid w:val="58E6430A"/>
    <w:rsid w:val="58F90F71"/>
    <w:rsid w:val="58FB8432"/>
    <w:rsid w:val="592D1F39"/>
    <w:rsid w:val="59E520D6"/>
    <w:rsid w:val="59FD9DD6"/>
    <w:rsid w:val="5A3410A5"/>
    <w:rsid w:val="5A3D07F3"/>
    <w:rsid w:val="5A8F6AC6"/>
    <w:rsid w:val="5ADB571D"/>
    <w:rsid w:val="5B0D7BA7"/>
    <w:rsid w:val="5B6A2FF8"/>
    <w:rsid w:val="5B7B814A"/>
    <w:rsid w:val="5BDE751B"/>
    <w:rsid w:val="5BE865EB"/>
    <w:rsid w:val="5BF7D4F1"/>
    <w:rsid w:val="5C2FB7C9"/>
    <w:rsid w:val="5C5F4A52"/>
    <w:rsid w:val="5C77890A"/>
    <w:rsid w:val="5C89230F"/>
    <w:rsid w:val="5CFF0DC1"/>
    <w:rsid w:val="5D3909AA"/>
    <w:rsid w:val="5D458678"/>
    <w:rsid w:val="5D623AAF"/>
    <w:rsid w:val="5D6D2F64"/>
    <w:rsid w:val="5D77CB3C"/>
    <w:rsid w:val="5DAE5A43"/>
    <w:rsid w:val="5DBD564B"/>
    <w:rsid w:val="5DD75D9E"/>
    <w:rsid w:val="5DEF609A"/>
    <w:rsid w:val="5DFBC3E9"/>
    <w:rsid w:val="5DFD9F4C"/>
    <w:rsid w:val="5DFF0B2B"/>
    <w:rsid w:val="5E7F2BAF"/>
    <w:rsid w:val="5E9F3DFE"/>
    <w:rsid w:val="5EBFAD08"/>
    <w:rsid w:val="5ECE4B01"/>
    <w:rsid w:val="5EE43523"/>
    <w:rsid w:val="5EF58447"/>
    <w:rsid w:val="5EFF36EA"/>
    <w:rsid w:val="5F024D04"/>
    <w:rsid w:val="5F56577E"/>
    <w:rsid w:val="5F5AAE2E"/>
    <w:rsid w:val="5F6FC381"/>
    <w:rsid w:val="5F762663"/>
    <w:rsid w:val="5F7D5DC4"/>
    <w:rsid w:val="5F7E88B8"/>
    <w:rsid w:val="5FAD1172"/>
    <w:rsid w:val="5FAE5D41"/>
    <w:rsid w:val="5FB27720"/>
    <w:rsid w:val="5FB6EA2C"/>
    <w:rsid w:val="5FB701C8"/>
    <w:rsid w:val="5FBB0A2E"/>
    <w:rsid w:val="5FBD7F7A"/>
    <w:rsid w:val="5FBEC96E"/>
    <w:rsid w:val="5FBFA37C"/>
    <w:rsid w:val="5FCE4E99"/>
    <w:rsid w:val="5FCFA668"/>
    <w:rsid w:val="5FDD65A5"/>
    <w:rsid w:val="5FDD934E"/>
    <w:rsid w:val="5FDEEF30"/>
    <w:rsid w:val="5FDF206E"/>
    <w:rsid w:val="5FF56CE9"/>
    <w:rsid w:val="5FF9C17A"/>
    <w:rsid w:val="5FFB2E61"/>
    <w:rsid w:val="5FFB5C4B"/>
    <w:rsid w:val="5FFD7694"/>
    <w:rsid w:val="5FFDA9DD"/>
    <w:rsid w:val="5FFDD272"/>
    <w:rsid w:val="5FFF4FE9"/>
    <w:rsid w:val="5FFF54B9"/>
    <w:rsid w:val="5FFFDA5D"/>
    <w:rsid w:val="608B7F65"/>
    <w:rsid w:val="613227E3"/>
    <w:rsid w:val="61B72CE8"/>
    <w:rsid w:val="61BE46B8"/>
    <w:rsid w:val="61F335F4"/>
    <w:rsid w:val="623E2ADC"/>
    <w:rsid w:val="627DEAB5"/>
    <w:rsid w:val="62BE00CC"/>
    <w:rsid w:val="62D82F16"/>
    <w:rsid w:val="62EF200D"/>
    <w:rsid w:val="62FE0106"/>
    <w:rsid w:val="63531946"/>
    <w:rsid w:val="63A022D0"/>
    <w:rsid w:val="63B93231"/>
    <w:rsid w:val="63DF985D"/>
    <w:rsid w:val="63EE23FA"/>
    <w:rsid w:val="644405E4"/>
    <w:rsid w:val="647E189B"/>
    <w:rsid w:val="64EDA9FE"/>
    <w:rsid w:val="65336423"/>
    <w:rsid w:val="653B1455"/>
    <w:rsid w:val="65774D70"/>
    <w:rsid w:val="65BB843E"/>
    <w:rsid w:val="65FA323D"/>
    <w:rsid w:val="65FF73B4"/>
    <w:rsid w:val="66567ECF"/>
    <w:rsid w:val="665925BF"/>
    <w:rsid w:val="667D6C42"/>
    <w:rsid w:val="66FFC763"/>
    <w:rsid w:val="671DD980"/>
    <w:rsid w:val="673F2FB6"/>
    <w:rsid w:val="677F81F6"/>
    <w:rsid w:val="67AF5A25"/>
    <w:rsid w:val="67B5C526"/>
    <w:rsid w:val="67B6134C"/>
    <w:rsid w:val="67CC534A"/>
    <w:rsid w:val="67DD01B5"/>
    <w:rsid w:val="67F78331"/>
    <w:rsid w:val="67FBD6D0"/>
    <w:rsid w:val="67FEE946"/>
    <w:rsid w:val="68D72A24"/>
    <w:rsid w:val="69681B6D"/>
    <w:rsid w:val="69EF4096"/>
    <w:rsid w:val="69F74B04"/>
    <w:rsid w:val="69FE834D"/>
    <w:rsid w:val="6A522C1F"/>
    <w:rsid w:val="6A7E9BCB"/>
    <w:rsid w:val="6B2C171F"/>
    <w:rsid w:val="6B774686"/>
    <w:rsid w:val="6BD35A50"/>
    <w:rsid w:val="6BF760D1"/>
    <w:rsid w:val="6BF786AE"/>
    <w:rsid w:val="6BFBDA78"/>
    <w:rsid w:val="6BFD5D87"/>
    <w:rsid w:val="6BFF295C"/>
    <w:rsid w:val="6BFF2D4A"/>
    <w:rsid w:val="6CC5876D"/>
    <w:rsid w:val="6CED109E"/>
    <w:rsid w:val="6D665273"/>
    <w:rsid w:val="6DDB2C5B"/>
    <w:rsid w:val="6DDB93DF"/>
    <w:rsid w:val="6DDF1189"/>
    <w:rsid w:val="6DFD155E"/>
    <w:rsid w:val="6DFD7A76"/>
    <w:rsid w:val="6DFFABEF"/>
    <w:rsid w:val="6E12A0B2"/>
    <w:rsid w:val="6E301E58"/>
    <w:rsid w:val="6E51723A"/>
    <w:rsid w:val="6E75E326"/>
    <w:rsid w:val="6E7E484B"/>
    <w:rsid w:val="6EC7E816"/>
    <w:rsid w:val="6EDE4329"/>
    <w:rsid w:val="6EEF857E"/>
    <w:rsid w:val="6EFD3E03"/>
    <w:rsid w:val="6EFE581D"/>
    <w:rsid w:val="6F1EA613"/>
    <w:rsid w:val="6F3EBAFD"/>
    <w:rsid w:val="6F664B10"/>
    <w:rsid w:val="6F6A1550"/>
    <w:rsid w:val="6F6FE1A0"/>
    <w:rsid w:val="6F73E2F4"/>
    <w:rsid w:val="6F7E6AF1"/>
    <w:rsid w:val="6F7ECC49"/>
    <w:rsid w:val="6F7F267D"/>
    <w:rsid w:val="6F7F75D9"/>
    <w:rsid w:val="6FBD2C89"/>
    <w:rsid w:val="6FBD3AA0"/>
    <w:rsid w:val="6FBE78E9"/>
    <w:rsid w:val="6FE2778E"/>
    <w:rsid w:val="6FE9A4FA"/>
    <w:rsid w:val="6FEF1A5A"/>
    <w:rsid w:val="6FEFD8CF"/>
    <w:rsid w:val="6FF8C9A1"/>
    <w:rsid w:val="6FFBBD1B"/>
    <w:rsid w:val="6FFD04F8"/>
    <w:rsid w:val="6FFE40BC"/>
    <w:rsid w:val="6FFF7030"/>
    <w:rsid w:val="6FFF7910"/>
    <w:rsid w:val="6FFFA3C6"/>
    <w:rsid w:val="704B5310"/>
    <w:rsid w:val="70891CF3"/>
    <w:rsid w:val="71682D10"/>
    <w:rsid w:val="71B7EA62"/>
    <w:rsid w:val="71EFB0E3"/>
    <w:rsid w:val="71FA344B"/>
    <w:rsid w:val="728704B4"/>
    <w:rsid w:val="72BD2132"/>
    <w:rsid w:val="73115446"/>
    <w:rsid w:val="731B5780"/>
    <w:rsid w:val="733FB50C"/>
    <w:rsid w:val="734E2D80"/>
    <w:rsid w:val="734FB058"/>
    <w:rsid w:val="7355A94A"/>
    <w:rsid w:val="736F6338"/>
    <w:rsid w:val="737B6A68"/>
    <w:rsid w:val="739CFFDA"/>
    <w:rsid w:val="73B30E5A"/>
    <w:rsid w:val="73BF5604"/>
    <w:rsid w:val="73BF952F"/>
    <w:rsid w:val="73D7AA19"/>
    <w:rsid w:val="73E8A394"/>
    <w:rsid w:val="73F6E402"/>
    <w:rsid w:val="73F76534"/>
    <w:rsid w:val="73FF2082"/>
    <w:rsid w:val="73FFEE3E"/>
    <w:rsid w:val="74195DFA"/>
    <w:rsid w:val="74F4F041"/>
    <w:rsid w:val="74F6750B"/>
    <w:rsid w:val="753B125B"/>
    <w:rsid w:val="756E0FB2"/>
    <w:rsid w:val="7576B160"/>
    <w:rsid w:val="7577208E"/>
    <w:rsid w:val="75773957"/>
    <w:rsid w:val="757788C9"/>
    <w:rsid w:val="757FEDA1"/>
    <w:rsid w:val="75BD7F7F"/>
    <w:rsid w:val="75BF4B38"/>
    <w:rsid w:val="75C709EF"/>
    <w:rsid w:val="75D7D0B4"/>
    <w:rsid w:val="75DF2C54"/>
    <w:rsid w:val="75E5F4CE"/>
    <w:rsid w:val="75F725C8"/>
    <w:rsid w:val="75F728A9"/>
    <w:rsid w:val="764F5374"/>
    <w:rsid w:val="766BD7AA"/>
    <w:rsid w:val="766C59F7"/>
    <w:rsid w:val="76B796AA"/>
    <w:rsid w:val="76BFD0F8"/>
    <w:rsid w:val="76CADCA9"/>
    <w:rsid w:val="76D7B214"/>
    <w:rsid w:val="76EF1A0B"/>
    <w:rsid w:val="76F58854"/>
    <w:rsid w:val="76F75864"/>
    <w:rsid w:val="76FB3B4C"/>
    <w:rsid w:val="76FFD953"/>
    <w:rsid w:val="77262DE2"/>
    <w:rsid w:val="772F4D7C"/>
    <w:rsid w:val="77398856"/>
    <w:rsid w:val="775F6072"/>
    <w:rsid w:val="776CC666"/>
    <w:rsid w:val="77755686"/>
    <w:rsid w:val="77785904"/>
    <w:rsid w:val="777FDE82"/>
    <w:rsid w:val="77B13FCE"/>
    <w:rsid w:val="77BF970E"/>
    <w:rsid w:val="77BFF073"/>
    <w:rsid w:val="77CD9141"/>
    <w:rsid w:val="77DF93C4"/>
    <w:rsid w:val="77DFFF93"/>
    <w:rsid w:val="77E30902"/>
    <w:rsid w:val="77F34CD9"/>
    <w:rsid w:val="77F85D55"/>
    <w:rsid w:val="77F916BB"/>
    <w:rsid w:val="77FE815E"/>
    <w:rsid w:val="77FF040F"/>
    <w:rsid w:val="77FF22AB"/>
    <w:rsid w:val="78433653"/>
    <w:rsid w:val="786D3118"/>
    <w:rsid w:val="78767001"/>
    <w:rsid w:val="78AC47D1"/>
    <w:rsid w:val="78DFCBA6"/>
    <w:rsid w:val="78EF685E"/>
    <w:rsid w:val="795FB22F"/>
    <w:rsid w:val="79A90D10"/>
    <w:rsid w:val="79BDA77A"/>
    <w:rsid w:val="79E2B2BB"/>
    <w:rsid w:val="79FEB310"/>
    <w:rsid w:val="7A3BC6D1"/>
    <w:rsid w:val="7A457646"/>
    <w:rsid w:val="7A4B626B"/>
    <w:rsid w:val="7A8F02B7"/>
    <w:rsid w:val="7A971274"/>
    <w:rsid w:val="7AA997D9"/>
    <w:rsid w:val="7AABA9C3"/>
    <w:rsid w:val="7AB93387"/>
    <w:rsid w:val="7ADDF446"/>
    <w:rsid w:val="7AE74290"/>
    <w:rsid w:val="7AEE85A9"/>
    <w:rsid w:val="7AEFDB30"/>
    <w:rsid w:val="7AFB37ED"/>
    <w:rsid w:val="7AFD8F97"/>
    <w:rsid w:val="7B1FF8F7"/>
    <w:rsid w:val="7B3D6D3E"/>
    <w:rsid w:val="7B3E682F"/>
    <w:rsid w:val="7B4E0F0B"/>
    <w:rsid w:val="7B4E81DB"/>
    <w:rsid w:val="7B4E9241"/>
    <w:rsid w:val="7B5F7A3A"/>
    <w:rsid w:val="7B76832E"/>
    <w:rsid w:val="7B77DE05"/>
    <w:rsid w:val="7B7AB641"/>
    <w:rsid w:val="7B7E7A6E"/>
    <w:rsid w:val="7B9D1B77"/>
    <w:rsid w:val="7B9EC80B"/>
    <w:rsid w:val="7BA5CA24"/>
    <w:rsid w:val="7BABB9C5"/>
    <w:rsid w:val="7BAFCF0C"/>
    <w:rsid w:val="7BC14060"/>
    <w:rsid w:val="7BCA5046"/>
    <w:rsid w:val="7BDA74B1"/>
    <w:rsid w:val="7BDA7D4D"/>
    <w:rsid w:val="7BDD2504"/>
    <w:rsid w:val="7BDF4391"/>
    <w:rsid w:val="7BE1A07D"/>
    <w:rsid w:val="7BE2A708"/>
    <w:rsid w:val="7BEB9933"/>
    <w:rsid w:val="7BF31361"/>
    <w:rsid w:val="7BF7649B"/>
    <w:rsid w:val="7BF97153"/>
    <w:rsid w:val="7BFA4490"/>
    <w:rsid w:val="7BFB48EF"/>
    <w:rsid w:val="7BFB721D"/>
    <w:rsid w:val="7BFD9FD0"/>
    <w:rsid w:val="7BFF3F80"/>
    <w:rsid w:val="7BFFE02E"/>
    <w:rsid w:val="7C4117BF"/>
    <w:rsid w:val="7C6B56D4"/>
    <w:rsid w:val="7C72F6C6"/>
    <w:rsid w:val="7C79DEE8"/>
    <w:rsid w:val="7C7DA115"/>
    <w:rsid w:val="7C7E92DB"/>
    <w:rsid w:val="7C9F0814"/>
    <w:rsid w:val="7CDE21E9"/>
    <w:rsid w:val="7CFD8164"/>
    <w:rsid w:val="7D35812B"/>
    <w:rsid w:val="7D7BA819"/>
    <w:rsid w:val="7D7F7157"/>
    <w:rsid w:val="7D7F7411"/>
    <w:rsid w:val="7DAA66A0"/>
    <w:rsid w:val="7DBE89AB"/>
    <w:rsid w:val="7DBF0EAF"/>
    <w:rsid w:val="7DBF8AC8"/>
    <w:rsid w:val="7DBF8C4E"/>
    <w:rsid w:val="7DD4AACD"/>
    <w:rsid w:val="7DD55BCF"/>
    <w:rsid w:val="7DD7C32F"/>
    <w:rsid w:val="7DDB4526"/>
    <w:rsid w:val="7DDBDFF8"/>
    <w:rsid w:val="7DE00CD0"/>
    <w:rsid w:val="7DE7AC70"/>
    <w:rsid w:val="7DE92699"/>
    <w:rsid w:val="7DEB4A90"/>
    <w:rsid w:val="7DECA09F"/>
    <w:rsid w:val="7DEF4243"/>
    <w:rsid w:val="7DEF4805"/>
    <w:rsid w:val="7DEF705D"/>
    <w:rsid w:val="7DF26F23"/>
    <w:rsid w:val="7DF78FE2"/>
    <w:rsid w:val="7DFB929C"/>
    <w:rsid w:val="7DFCE965"/>
    <w:rsid w:val="7DFD1917"/>
    <w:rsid w:val="7DFE653C"/>
    <w:rsid w:val="7DFE6D72"/>
    <w:rsid w:val="7DFEB12A"/>
    <w:rsid w:val="7DFFB28C"/>
    <w:rsid w:val="7DFFEF3B"/>
    <w:rsid w:val="7E06244C"/>
    <w:rsid w:val="7E10789C"/>
    <w:rsid w:val="7E298841"/>
    <w:rsid w:val="7E57DBB0"/>
    <w:rsid w:val="7E73FADF"/>
    <w:rsid w:val="7E751B09"/>
    <w:rsid w:val="7E7BDFA6"/>
    <w:rsid w:val="7E8104AE"/>
    <w:rsid w:val="7EB7BBD7"/>
    <w:rsid w:val="7EBB67F2"/>
    <w:rsid w:val="7EBF1927"/>
    <w:rsid w:val="7EBF641A"/>
    <w:rsid w:val="7ECB55B7"/>
    <w:rsid w:val="7EDC0A70"/>
    <w:rsid w:val="7EDF91D4"/>
    <w:rsid w:val="7EDF929C"/>
    <w:rsid w:val="7EEE2C39"/>
    <w:rsid w:val="7EEF6D63"/>
    <w:rsid w:val="7EF61489"/>
    <w:rsid w:val="7EF69B88"/>
    <w:rsid w:val="7EF7251E"/>
    <w:rsid w:val="7EF96296"/>
    <w:rsid w:val="7EFD44A0"/>
    <w:rsid w:val="7EFE7ABD"/>
    <w:rsid w:val="7EFE8CB3"/>
    <w:rsid w:val="7EFF5B23"/>
    <w:rsid w:val="7EFFF881"/>
    <w:rsid w:val="7F238146"/>
    <w:rsid w:val="7F30B187"/>
    <w:rsid w:val="7F3DACE2"/>
    <w:rsid w:val="7F5AA28A"/>
    <w:rsid w:val="7F66CB35"/>
    <w:rsid w:val="7F67C665"/>
    <w:rsid w:val="7F67DB77"/>
    <w:rsid w:val="7F696184"/>
    <w:rsid w:val="7F6F737D"/>
    <w:rsid w:val="7F6F7887"/>
    <w:rsid w:val="7F73C868"/>
    <w:rsid w:val="7F793534"/>
    <w:rsid w:val="7F7B2015"/>
    <w:rsid w:val="7F7B9D25"/>
    <w:rsid w:val="7F7F0B47"/>
    <w:rsid w:val="7F83FA2C"/>
    <w:rsid w:val="7F8FF55C"/>
    <w:rsid w:val="7F906ED8"/>
    <w:rsid w:val="7FA6D4D5"/>
    <w:rsid w:val="7FA7667B"/>
    <w:rsid w:val="7FAB0F89"/>
    <w:rsid w:val="7FAF62C5"/>
    <w:rsid w:val="7FAFE59F"/>
    <w:rsid w:val="7FB23FB8"/>
    <w:rsid w:val="7FB3044C"/>
    <w:rsid w:val="7FB39833"/>
    <w:rsid w:val="7FB678CB"/>
    <w:rsid w:val="7FB7E309"/>
    <w:rsid w:val="7FB82C3C"/>
    <w:rsid w:val="7FB8D106"/>
    <w:rsid w:val="7FBB1525"/>
    <w:rsid w:val="7FBB5BF1"/>
    <w:rsid w:val="7FBB7225"/>
    <w:rsid w:val="7FBF3EFF"/>
    <w:rsid w:val="7FBF9EAD"/>
    <w:rsid w:val="7FCF5F18"/>
    <w:rsid w:val="7FD29A6B"/>
    <w:rsid w:val="7FD3DE72"/>
    <w:rsid w:val="7FD48C7D"/>
    <w:rsid w:val="7FD4AAE4"/>
    <w:rsid w:val="7FD6AD5E"/>
    <w:rsid w:val="7FD72594"/>
    <w:rsid w:val="7FDBB7E9"/>
    <w:rsid w:val="7FDCCA4C"/>
    <w:rsid w:val="7FDCCF59"/>
    <w:rsid w:val="7FDD2DB7"/>
    <w:rsid w:val="7FDE73AB"/>
    <w:rsid w:val="7FDF0797"/>
    <w:rsid w:val="7FE32650"/>
    <w:rsid w:val="7FE33DC1"/>
    <w:rsid w:val="7FE3BA49"/>
    <w:rsid w:val="7FE4078B"/>
    <w:rsid w:val="7FE513BF"/>
    <w:rsid w:val="7FE54200"/>
    <w:rsid w:val="7FE7FE1A"/>
    <w:rsid w:val="7FE968EF"/>
    <w:rsid w:val="7FEB2A77"/>
    <w:rsid w:val="7FEC5226"/>
    <w:rsid w:val="7FEDB26D"/>
    <w:rsid w:val="7FEE863A"/>
    <w:rsid w:val="7FEE91D9"/>
    <w:rsid w:val="7FEF11CA"/>
    <w:rsid w:val="7FEF670C"/>
    <w:rsid w:val="7FEFBDB8"/>
    <w:rsid w:val="7FF3CBF9"/>
    <w:rsid w:val="7FF3EA64"/>
    <w:rsid w:val="7FF4FEA6"/>
    <w:rsid w:val="7FF50183"/>
    <w:rsid w:val="7FF59A4C"/>
    <w:rsid w:val="7FF60F34"/>
    <w:rsid w:val="7FF78709"/>
    <w:rsid w:val="7FF7A3B0"/>
    <w:rsid w:val="7FF9947B"/>
    <w:rsid w:val="7FF9E816"/>
    <w:rsid w:val="7FFB0B33"/>
    <w:rsid w:val="7FFB6B5E"/>
    <w:rsid w:val="7FFB75B7"/>
    <w:rsid w:val="7FFB9508"/>
    <w:rsid w:val="7FFBE901"/>
    <w:rsid w:val="7FFC3EE0"/>
    <w:rsid w:val="7FFD419B"/>
    <w:rsid w:val="7FFDFD8D"/>
    <w:rsid w:val="7FFE2628"/>
    <w:rsid w:val="7FFE2977"/>
    <w:rsid w:val="7FFE8F51"/>
    <w:rsid w:val="7FFEBE1C"/>
    <w:rsid w:val="7FFF1365"/>
    <w:rsid w:val="7FFF1E21"/>
    <w:rsid w:val="7FFF2180"/>
    <w:rsid w:val="7FFF3FBB"/>
    <w:rsid w:val="7FFF6416"/>
    <w:rsid w:val="7FFF6E06"/>
    <w:rsid w:val="7FFF90BC"/>
    <w:rsid w:val="7FFFDDD2"/>
    <w:rsid w:val="7FFFE766"/>
    <w:rsid w:val="7FFFFC19"/>
    <w:rsid w:val="859D3043"/>
    <w:rsid w:val="85DD55F2"/>
    <w:rsid w:val="87770136"/>
    <w:rsid w:val="87B339CC"/>
    <w:rsid w:val="8BF95493"/>
    <w:rsid w:val="8D7DFA92"/>
    <w:rsid w:val="8DEDBCAF"/>
    <w:rsid w:val="8E7FF6F2"/>
    <w:rsid w:val="8EBFE1C2"/>
    <w:rsid w:val="8F4A681E"/>
    <w:rsid w:val="8FEF88C6"/>
    <w:rsid w:val="8FFB5E72"/>
    <w:rsid w:val="90D79A10"/>
    <w:rsid w:val="95CB88CE"/>
    <w:rsid w:val="95F91FCC"/>
    <w:rsid w:val="95FFD365"/>
    <w:rsid w:val="97DE9BDC"/>
    <w:rsid w:val="97F35D36"/>
    <w:rsid w:val="97F93982"/>
    <w:rsid w:val="9A9F6BE9"/>
    <w:rsid w:val="9AFF3F38"/>
    <w:rsid w:val="9BFE721C"/>
    <w:rsid w:val="9CFF2708"/>
    <w:rsid w:val="9D9CA010"/>
    <w:rsid w:val="9DB1FFBC"/>
    <w:rsid w:val="9DBB02B8"/>
    <w:rsid w:val="9DDE99C2"/>
    <w:rsid w:val="9E3DAF82"/>
    <w:rsid w:val="9E63F600"/>
    <w:rsid w:val="9EDD83FA"/>
    <w:rsid w:val="9EE7FDB9"/>
    <w:rsid w:val="9EFAC8F6"/>
    <w:rsid w:val="9F5136C0"/>
    <w:rsid w:val="9F67CEFE"/>
    <w:rsid w:val="9F7F6FDF"/>
    <w:rsid w:val="9FB5A9CC"/>
    <w:rsid w:val="9FDB2BA2"/>
    <w:rsid w:val="9FE4B8E8"/>
    <w:rsid w:val="9FFA38EE"/>
    <w:rsid w:val="9FFBBF75"/>
    <w:rsid w:val="A11F20C2"/>
    <w:rsid w:val="A1E7A0F2"/>
    <w:rsid w:val="A2FD4AEF"/>
    <w:rsid w:val="A567CFFF"/>
    <w:rsid w:val="A5FABDC4"/>
    <w:rsid w:val="A67FCF29"/>
    <w:rsid w:val="A6CEADBE"/>
    <w:rsid w:val="A6FD134B"/>
    <w:rsid w:val="A76F6F2B"/>
    <w:rsid w:val="A79E63EE"/>
    <w:rsid w:val="A7F795B1"/>
    <w:rsid w:val="A8471C57"/>
    <w:rsid w:val="ABBE57E1"/>
    <w:rsid w:val="ACFD080D"/>
    <w:rsid w:val="ADFFE4F9"/>
    <w:rsid w:val="AF25CDAB"/>
    <w:rsid w:val="AF5F9238"/>
    <w:rsid w:val="AFB9DA92"/>
    <w:rsid w:val="AFBE260B"/>
    <w:rsid w:val="AFDCC367"/>
    <w:rsid w:val="AFE98F57"/>
    <w:rsid w:val="AFF7709A"/>
    <w:rsid w:val="AFFFA32C"/>
    <w:rsid w:val="B3AFE331"/>
    <w:rsid w:val="B3E2FB46"/>
    <w:rsid w:val="B4DBCE01"/>
    <w:rsid w:val="B57B9E06"/>
    <w:rsid w:val="B5B58E71"/>
    <w:rsid w:val="B5F538BB"/>
    <w:rsid w:val="B67E1F8A"/>
    <w:rsid w:val="B6A9C45D"/>
    <w:rsid w:val="B7BAA5ED"/>
    <w:rsid w:val="B7BB13FE"/>
    <w:rsid w:val="B7E5BD86"/>
    <w:rsid w:val="B7FFF812"/>
    <w:rsid w:val="B96ECF15"/>
    <w:rsid w:val="B9CFC426"/>
    <w:rsid w:val="B9FED3C3"/>
    <w:rsid w:val="BBBBFCFE"/>
    <w:rsid w:val="BBD76BE1"/>
    <w:rsid w:val="BBDF94CB"/>
    <w:rsid w:val="BBF67165"/>
    <w:rsid w:val="BBFB8477"/>
    <w:rsid w:val="BBFD5537"/>
    <w:rsid w:val="BBFDD50A"/>
    <w:rsid w:val="BD7E41BC"/>
    <w:rsid w:val="BD7F02A5"/>
    <w:rsid w:val="BD7FC589"/>
    <w:rsid w:val="BDAFE83B"/>
    <w:rsid w:val="BDBE502C"/>
    <w:rsid w:val="BDD933F7"/>
    <w:rsid w:val="BDDD5687"/>
    <w:rsid w:val="BDDD6032"/>
    <w:rsid w:val="BDF7B219"/>
    <w:rsid w:val="BDFBB3BE"/>
    <w:rsid w:val="BDFD2FB3"/>
    <w:rsid w:val="BDFF62C1"/>
    <w:rsid w:val="BE7A0FD9"/>
    <w:rsid w:val="BED7E7DE"/>
    <w:rsid w:val="BEDDD191"/>
    <w:rsid w:val="BEFAEF1A"/>
    <w:rsid w:val="BEFF7D62"/>
    <w:rsid w:val="BF1BE1A3"/>
    <w:rsid w:val="BF37359C"/>
    <w:rsid w:val="BF3F5AB7"/>
    <w:rsid w:val="BF6539E0"/>
    <w:rsid w:val="BF7DC3EB"/>
    <w:rsid w:val="BF7EB022"/>
    <w:rsid w:val="BF7F9C1A"/>
    <w:rsid w:val="BF8FEDA4"/>
    <w:rsid w:val="BFAB5C4C"/>
    <w:rsid w:val="BFAB64B1"/>
    <w:rsid w:val="BFAECD4E"/>
    <w:rsid w:val="BFBB6AE0"/>
    <w:rsid w:val="BFBDED55"/>
    <w:rsid w:val="BFBF22A9"/>
    <w:rsid w:val="BFBFF251"/>
    <w:rsid w:val="BFCE45F0"/>
    <w:rsid w:val="BFDD509A"/>
    <w:rsid w:val="BFDF1EF2"/>
    <w:rsid w:val="BFEDFA4C"/>
    <w:rsid w:val="BFEE0073"/>
    <w:rsid w:val="BFF309BA"/>
    <w:rsid w:val="BFF56F85"/>
    <w:rsid w:val="BFF72E8B"/>
    <w:rsid w:val="BFF7BA10"/>
    <w:rsid w:val="BFFA1A06"/>
    <w:rsid w:val="BFFAC325"/>
    <w:rsid w:val="BFFB21A4"/>
    <w:rsid w:val="BFFF1972"/>
    <w:rsid w:val="BFFF6241"/>
    <w:rsid w:val="C3FC3DA6"/>
    <w:rsid w:val="C3FD6DEC"/>
    <w:rsid w:val="C5F587BA"/>
    <w:rsid w:val="C6CE329C"/>
    <w:rsid w:val="C6F23D5C"/>
    <w:rsid w:val="C86E64DC"/>
    <w:rsid w:val="CADE2528"/>
    <w:rsid w:val="CBABD2FC"/>
    <w:rsid w:val="CBBD3935"/>
    <w:rsid w:val="CBFF0CC6"/>
    <w:rsid w:val="CDEF9701"/>
    <w:rsid w:val="CE3FBB87"/>
    <w:rsid w:val="CE9B425F"/>
    <w:rsid w:val="CF31E15C"/>
    <w:rsid w:val="CF5A18B0"/>
    <w:rsid w:val="CF6F1B6A"/>
    <w:rsid w:val="CFD6C925"/>
    <w:rsid w:val="CFFE4733"/>
    <w:rsid w:val="CFFF79A7"/>
    <w:rsid w:val="D0E68F56"/>
    <w:rsid w:val="D25F9096"/>
    <w:rsid w:val="D2F3722C"/>
    <w:rsid w:val="D2FDC161"/>
    <w:rsid w:val="D35FA2E6"/>
    <w:rsid w:val="D3BF4779"/>
    <w:rsid w:val="D3F6EAC2"/>
    <w:rsid w:val="D3FB0C51"/>
    <w:rsid w:val="D3FFCDDE"/>
    <w:rsid w:val="D65E72CF"/>
    <w:rsid w:val="D6FED389"/>
    <w:rsid w:val="D74FC5E3"/>
    <w:rsid w:val="D76DC2C0"/>
    <w:rsid w:val="D79E54EE"/>
    <w:rsid w:val="D7B74415"/>
    <w:rsid w:val="D7DDA6B9"/>
    <w:rsid w:val="D7FBE95C"/>
    <w:rsid w:val="D7FD1D77"/>
    <w:rsid w:val="D7FF72BD"/>
    <w:rsid w:val="D7FFDFDE"/>
    <w:rsid w:val="D8DFB352"/>
    <w:rsid w:val="D97BF5D6"/>
    <w:rsid w:val="D99F43BE"/>
    <w:rsid w:val="D9FF9C8C"/>
    <w:rsid w:val="DA8F74A8"/>
    <w:rsid w:val="DAFCF3D3"/>
    <w:rsid w:val="DAFD7C4C"/>
    <w:rsid w:val="DAFFBC59"/>
    <w:rsid w:val="DB1D55EA"/>
    <w:rsid w:val="DB27D1D3"/>
    <w:rsid w:val="DB58DE07"/>
    <w:rsid w:val="DB5E4BE0"/>
    <w:rsid w:val="DB7CF610"/>
    <w:rsid w:val="DB7F1CC9"/>
    <w:rsid w:val="DB7FAEDE"/>
    <w:rsid w:val="DB9AA518"/>
    <w:rsid w:val="DB9F0840"/>
    <w:rsid w:val="DBCF7663"/>
    <w:rsid w:val="DBDBA7E1"/>
    <w:rsid w:val="DBDD05E3"/>
    <w:rsid w:val="DBEF95E3"/>
    <w:rsid w:val="DCFFEB4C"/>
    <w:rsid w:val="DD9A03E4"/>
    <w:rsid w:val="DDCF4785"/>
    <w:rsid w:val="DDFEBA27"/>
    <w:rsid w:val="DDFF47E8"/>
    <w:rsid w:val="DDFF9181"/>
    <w:rsid w:val="DE5AC9CC"/>
    <w:rsid w:val="DEAD5302"/>
    <w:rsid w:val="DEBD799B"/>
    <w:rsid w:val="DEBEA187"/>
    <w:rsid w:val="DEE7ECFD"/>
    <w:rsid w:val="DEF63552"/>
    <w:rsid w:val="DEFA490B"/>
    <w:rsid w:val="DEFF1FF8"/>
    <w:rsid w:val="DF1DE39D"/>
    <w:rsid w:val="DF4F02D7"/>
    <w:rsid w:val="DF5F97B3"/>
    <w:rsid w:val="DF68C22F"/>
    <w:rsid w:val="DF6E4A1C"/>
    <w:rsid w:val="DF7B9390"/>
    <w:rsid w:val="DFA7CEE3"/>
    <w:rsid w:val="DFB0F887"/>
    <w:rsid w:val="DFBA86CB"/>
    <w:rsid w:val="DFBDD3BA"/>
    <w:rsid w:val="DFBFCA0F"/>
    <w:rsid w:val="DFC55435"/>
    <w:rsid w:val="DFD6E1A7"/>
    <w:rsid w:val="DFD7392C"/>
    <w:rsid w:val="DFDB07E3"/>
    <w:rsid w:val="DFDFFC9D"/>
    <w:rsid w:val="DFED2B64"/>
    <w:rsid w:val="DFEFBFED"/>
    <w:rsid w:val="DFF70D38"/>
    <w:rsid w:val="DFF7A996"/>
    <w:rsid w:val="DFF7AC05"/>
    <w:rsid w:val="DFF7F915"/>
    <w:rsid w:val="DFFA3B89"/>
    <w:rsid w:val="DFFD1309"/>
    <w:rsid w:val="DFFEAC7F"/>
    <w:rsid w:val="DFFF26A3"/>
    <w:rsid w:val="DFFFC1DE"/>
    <w:rsid w:val="E3BA5ABF"/>
    <w:rsid w:val="E3ED24A9"/>
    <w:rsid w:val="E5BB20CA"/>
    <w:rsid w:val="E5CB31A2"/>
    <w:rsid w:val="E5D7E07F"/>
    <w:rsid w:val="E5F432D7"/>
    <w:rsid w:val="E5FFA3FB"/>
    <w:rsid w:val="E67B5F8C"/>
    <w:rsid w:val="E6FF885E"/>
    <w:rsid w:val="E73B0592"/>
    <w:rsid w:val="E75FB013"/>
    <w:rsid w:val="E7719A86"/>
    <w:rsid w:val="E77E57DD"/>
    <w:rsid w:val="E7AE7AD2"/>
    <w:rsid w:val="E7BBBD19"/>
    <w:rsid w:val="E7BF7F49"/>
    <w:rsid w:val="E7D27F0F"/>
    <w:rsid w:val="E7FBCC74"/>
    <w:rsid w:val="E7FFD172"/>
    <w:rsid w:val="E7FFF5C1"/>
    <w:rsid w:val="E8EB24B8"/>
    <w:rsid w:val="E95F54E6"/>
    <w:rsid w:val="E9BD8A8B"/>
    <w:rsid w:val="EA5F25B2"/>
    <w:rsid w:val="EA7F75FB"/>
    <w:rsid w:val="EAEA1A26"/>
    <w:rsid w:val="EB3C32F2"/>
    <w:rsid w:val="EB9FC383"/>
    <w:rsid w:val="EBAF6887"/>
    <w:rsid w:val="EBB7A08D"/>
    <w:rsid w:val="EBB96B17"/>
    <w:rsid w:val="EBDFE30B"/>
    <w:rsid w:val="EBE6A237"/>
    <w:rsid w:val="EBEABAFA"/>
    <w:rsid w:val="EBF7EC0E"/>
    <w:rsid w:val="EBFA7847"/>
    <w:rsid w:val="EBFE2A52"/>
    <w:rsid w:val="EBFF2B86"/>
    <w:rsid w:val="ECBDB075"/>
    <w:rsid w:val="ECFEB795"/>
    <w:rsid w:val="ECFFE9F1"/>
    <w:rsid w:val="ED7DBFAC"/>
    <w:rsid w:val="ED7F2180"/>
    <w:rsid w:val="EDB30FC5"/>
    <w:rsid w:val="EDBFDC55"/>
    <w:rsid w:val="EDDF889B"/>
    <w:rsid w:val="EDEC1BB3"/>
    <w:rsid w:val="EDFF10BD"/>
    <w:rsid w:val="EDFF4378"/>
    <w:rsid w:val="EEAF079B"/>
    <w:rsid w:val="EEB734B3"/>
    <w:rsid w:val="EEF2AD59"/>
    <w:rsid w:val="EEF767AA"/>
    <w:rsid w:val="EF57D4D8"/>
    <w:rsid w:val="EF5A96AF"/>
    <w:rsid w:val="EF6D62D6"/>
    <w:rsid w:val="EF77FECA"/>
    <w:rsid w:val="EF7F655C"/>
    <w:rsid w:val="EF93F39C"/>
    <w:rsid w:val="EFAF1741"/>
    <w:rsid w:val="EFB7678E"/>
    <w:rsid w:val="EFBD8158"/>
    <w:rsid w:val="EFBE897A"/>
    <w:rsid w:val="EFBECD32"/>
    <w:rsid w:val="EFBF7350"/>
    <w:rsid w:val="EFBFEC35"/>
    <w:rsid w:val="EFDFB2FB"/>
    <w:rsid w:val="EFEB6F5A"/>
    <w:rsid w:val="EFEFA4F7"/>
    <w:rsid w:val="EFF65BAC"/>
    <w:rsid w:val="EFF6B341"/>
    <w:rsid w:val="EFFB475C"/>
    <w:rsid w:val="EFFD861C"/>
    <w:rsid w:val="EFFDD7C4"/>
    <w:rsid w:val="EFFF382E"/>
    <w:rsid w:val="EFFF8F63"/>
    <w:rsid w:val="EFFFA599"/>
    <w:rsid w:val="EFFFB3B4"/>
    <w:rsid w:val="EFFFF402"/>
    <w:rsid w:val="F17D5018"/>
    <w:rsid w:val="F19EB0A0"/>
    <w:rsid w:val="F1BF373E"/>
    <w:rsid w:val="F22D65A4"/>
    <w:rsid w:val="F2D7F8D5"/>
    <w:rsid w:val="F34FFD65"/>
    <w:rsid w:val="F3BB8585"/>
    <w:rsid w:val="F3F812A7"/>
    <w:rsid w:val="F3FD8281"/>
    <w:rsid w:val="F3FFD6D3"/>
    <w:rsid w:val="F3FFE7A0"/>
    <w:rsid w:val="F47959EC"/>
    <w:rsid w:val="F47DEDEE"/>
    <w:rsid w:val="F4B96B9F"/>
    <w:rsid w:val="F537D725"/>
    <w:rsid w:val="F5B2558A"/>
    <w:rsid w:val="F5BB7FF0"/>
    <w:rsid w:val="F5DDA237"/>
    <w:rsid w:val="F5EF7736"/>
    <w:rsid w:val="F5EF7948"/>
    <w:rsid w:val="F5EFCB30"/>
    <w:rsid w:val="F5FB2BDD"/>
    <w:rsid w:val="F5FF7A3A"/>
    <w:rsid w:val="F6139990"/>
    <w:rsid w:val="F61F6523"/>
    <w:rsid w:val="F6970EA2"/>
    <w:rsid w:val="F6ABA1B3"/>
    <w:rsid w:val="F6AFCE11"/>
    <w:rsid w:val="F6BD3501"/>
    <w:rsid w:val="F6BE855A"/>
    <w:rsid w:val="F6EFAB1F"/>
    <w:rsid w:val="F6F74352"/>
    <w:rsid w:val="F71F22D5"/>
    <w:rsid w:val="F71F4F99"/>
    <w:rsid w:val="F73E9F5A"/>
    <w:rsid w:val="F7776859"/>
    <w:rsid w:val="F77F231E"/>
    <w:rsid w:val="F78FCA7C"/>
    <w:rsid w:val="F7AB8C14"/>
    <w:rsid w:val="F7B7145D"/>
    <w:rsid w:val="F7BC100C"/>
    <w:rsid w:val="F7BDFEEE"/>
    <w:rsid w:val="F7BF287A"/>
    <w:rsid w:val="F7BF3BFD"/>
    <w:rsid w:val="F7BF47AA"/>
    <w:rsid w:val="F7CB4345"/>
    <w:rsid w:val="F7CD6FFD"/>
    <w:rsid w:val="F7D3E295"/>
    <w:rsid w:val="F7D9504B"/>
    <w:rsid w:val="F7DB4D4C"/>
    <w:rsid w:val="F7E7B40C"/>
    <w:rsid w:val="F7EFCEE4"/>
    <w:rsid w:val="F7F30778"/>
    <w:rsid w:val="F7F563A8"/>
    <w:rsid w:val="F7FBDE04"/>
    <w:rsid w:val="F7FC450F"/>
    <w:rsid w:val="F7FE90B3"/>
    <w:rsid w:val="F7FF01D6"/>
    <w:rsid w:val="F7FF7566"/>
    <w:rsid w:val="F7FFF826"/>
    <w:rsid w:val="F8D7D549"/>
    <w:rsid w:val="F96F061D"/>
    <w:rsid w:val="F977A59B"/>
    <w:rsid w:val="F977D699"/>
    <w:rsid w:val="F9BB55DF"/>
    <w:rsid w:val="F9F265DD"/>
    <w:rsid w:val="F9F7D50A"/>
    <w:rsid w:val="F9FB8227"/>
    <w:rsid w:val="F9FD2A21"/>
    <w:rsid w:val="FA2EA9D5"/>
    <w:rsid w:val="FA37CC73"/>
    <w:rsid w:val="FABDAEB8"/>
    <w:rsid w:val="FABFFFA9"/>
    <w:rsid w:val="FADEDE7D"/>
    <w:rsid w:val="FAF1D96E"/>
    <w:rsid w:val="FAF75CFD"/>
    <w:rsid w:val="FAFDC9EC"/>
    <w:rsid w:val="FB3F0AC8"/>
    <w:rsid w:val="FB5FBE64"/>
    <w:rsid w:val="FB6CD6CF"/>
    <w:rsid w:val="FB7578B9"/>
    <w:rsid w:val="FB7B8B0E"/>
    <w:rsid w:val="FB7BA780"/>
    <w:rsid w:val="FB7F57A8"/>
    <w:rsid w:val="FB9D6DD9"/>
    <w:rsid w:val="FB9E45C2"/>
    <w:rsid w:val="FB9F05D1"/>
    <w:rsid w:val="FBA1F800"/>
    <w:rsid w:val="FBB5CD07"/>
    <w:rsid w:val="FBBBBAB7"/>
    <w:rsid w:val="FBBFA9B0"/>
    <w:rsid w:val="FBE127B9"/>
    <w:rsid w:val="FBE39D7A"/>
    <w:rsid w:val="FBE8FE94"/>
    <w:rsid w:val="FBEA5B3F"/>
    <w:rsid w:val="FBEEEC8B"/>
    <w:rsid w:val="FBEFA21E"/>
    <w:rsid w:val="FBF3FB7D"/>
    <w:rsid w:val="FBF71A69"/>
    <w:rsid w:val="FBFD26F9"/>
    <w:rsid w:val="FBFEE46E"/>
    <w:rsid w:val="FBFFDE60"/>
    <w:rsid w:val="FBFFF1B1"/>
    <w:rsid w:val="FC1F7CCF"/>
    <w:rsid w:val="FC6D8AC1"/>
    <w:rsid w:val="FC7DFEBF"/>
    <w:rsid w:val="FCB5DECF"/>
    <w:rsid w:val="FCDF14DD"/>
    <w:rsid w:val="FCF607DE"/>
    <w:rsid w:val="FCFEB0E9"/>
    <w:rsid w:val="FCFF0BD5"/>
    <w:rsid w:val="FD2E1869"/>
    <w:rsid w:val="FD4FF20B"/>
    <w:rsid w:val="FD72EFEE"/>
    <w:rsid w:val="FD7D4C56"/>
    <w:rsid w:val="FD8E5D2F"/>
    <w:rsid w:val="FDA6C912"/>
    <w:rsid w:val="FDB5BC66"/>
    <w:rsid w:val="FDB708D5"/>
    <w:rsid w:val="FDB7F83B"/>
    <w:rsid w:val="FDDF2C2E"/>
    <w:rsid w:val="FDDF9A57"/>
    <w:rsid w:val="FDF328E5"/>
    <w:rsid w:val="FDF70766"/>
    <w:rsid w:val="FDFBCED1"/>
    <w:rsid w:val="FDFBD7C5"/>
    <w:rsid w:val="FDFE27CC"/>
    <w:rsid w:val="FDFE27CE"/>
    <w:rsid w:val="FDFEA247"/>
    <w:rsid w:val="FDFEF827"/>
    <w:rsid w:val="FDFF0B14"/>
    <w:rsid w:val="FE3FF812"/>
    <w:rsid w:val="FE67C72B"/>
    <w:rsid w:val="FE725F0F"/>
    <w:rsid w:val="FE7E1606"/>
    <w:rsid w:val="FE7F51E4"/>
    <w:rsid w:val="FE9F38D4"/>
    <w:rsid w:val="FEAB250A"/>
    <w:rsid w:val="FEB0D81E"/>
    <w:rsid w:val="FEB28BF1"/>
    <w:rsid w:val="FEBC7F04"/>
    <w:rsid w:val="FEBF61AE"/>
    <w:rsid w:val="FEDE8536"/>
    <w:rsid w:val="FEDF54ED"/>
    <w:rsid w:val="FEEAE368"/>
    <w:rsid w:val="FEF17529"/>
    <w:rsid w:val="FEF29EED"/>
    <w:rsid w:val="FEF48D35"/>
    <w:rsid w:val="FEFB7481"/>
    <w:rsid w:val="FEFBB4B4"/>
    <w:rsid w:val="FEFE7386"/>
    <w:rsid w:val="FEFF10CC"/>
    <w:rsid w:val="FEFF2CED"/>
    <w:rsid w:val="FF1F2BD0"/>
    <w:rsid w:val="FF352E64"/>
    <w:rsid w:val="FF454E39"/>
    <w:rsid w:val="FF52758E"/>
    <w:rsid w:val="FF5A00BD"/>
    <w:rsid w:val="FF5B3031"/>
    <w:rsid w:val="FF5BABDF"/>
    <w:rsid w:val="FF5F49EA"/>
    <w:rsid w:val="FF5F929A"/>
    <w:rsid w:val="FF6F5468"/>
    <w:rsid w:val="FF701533"/>
    <w:rsid w:val="FF703EA0"/>
    <w:rsid w:val="FF754666"/>
    <w:rsid w:val="FF759BA6"/>
    <w:rsid w:val="FF779D94"/>
    <w:rsid w:val="FF790FCD"/>
    <w:rsid w:val="FF7B116F"/>
    <w:rsid w:val="FF7DA9F0"/>
    <w:rsid w:val="FF7FC465"/>
    <w:rsid w:val="FF85EB0A"/>
    <w:rsid w:val="FF950DCC"/>
    <w:rsid w:val="FF9E1B88"/>
    <w:rsid w:val="FFA84241"/>
    <w:rsid w:val="FFAE216E"/>
    <w:rsid w:val="FFB61E11"/>
    <w:rsid w:val="FFB66FE0"/>
    <w:rsid w:val="FFB70FF1"/>
    <w:rsid w:val="FFBA135A"/>
    <w:rsid w:val="FFBC4571"/>
    <w:rsid w:val="FFBDD3F6"/>
    <w:rsid w:val="FFBDE3DD"/>
    <w:rsid w:val="FFBF0FD1"/>
    <w:rsid w:val="FFBFDD45"/>
    <w:rsid w:val="FFBFF789"/>
    <w:rsid w:val="FFCF6BC3"/>
    <w:rsid w:val="FFD72E0A"/>
    <w:rsid w:val="FFD97528"/>
    <w:rsid w:val="FFDAA93B"/>
    <w:rsid w:val="FFDAD5D6"/>
    <w:rsid w:val="FFDB2147"/>
    <w:rsid w:val="FFDF6F82"/>
    <w:rsid w:val="FFDFA11E"/>
    <w:rsid w:val="FFDFF259"/>
    <w:rsid w:val="FFE148E9"/>
    <w:rsid w:val="FFEBEC74"/>
    <w:rsid w:val="FFECBAB5"/>
    <w:rsid w:val="FFED0790"/>
    <w:rsid w:val="FFED3A17"/>
    <w:rsid w:val="FFEF62CD"/>
    <w:rsid w:val="FFEFE537"/>
    <w:rsid w:val="FFF327D4"/>
    <w:rsid w:val="FFF962AB"/>
    <w:rsid w:val="FFFB0525"/>
    <w:rsid w:val="FFFB586B"/>
    <w:rsid w:val="FFFB6966"/>
    <w:rsid w:val="FFFC3EAD"/>
    <w:rsid w:val="FFFD4FC3"/>
    <w:rsid w:val="FFFD6986"/>
    <w:rsid w:val="FFFD8262"/>
    <w:rsid w:val="FFFDAB15"/>
    <w:rsid w:val="FFFE38A4"/>
    <w:rsid w:val="FFFE6274"/>
    <w:rsid w:val="FFFE9D37"/>
    <w:rsid w:val="FFFF0F20"/>
    <w:rsid w:val="FFFFAAE1"/>
    <w:rsid w:val="FFFFE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 w:val="0"/>
      <w:autoSpaceDN w:val="0"/>
      <w:bidi w:val="0"/>
      <w:adjustRightInd w:val="0"/>
      <w:snapToGrid/>
      <w:spacing w:line="360" w:lineRule="auto"/>
      <w:ind w:firstLine="420" w:firstLineChars="200"/>
      <w:jc w:val="both"/>
      <w:textAlignment w:val="auto"/>
    </w:pPr>
    <w:rPr>
      <w:rFonts w:ascii="Times New Roman" w:hAnsi="Times New Roman" w:cs="Times New Roman" w:eastAsiaTheme="minorEastAsia"/>
      <w:bCs/>
      <w:color w:val="000000"/>
      <w:kern w:val="0"/>
      <w:sz w:val="24"/>
      <w:szCs w:val="28"/>
      <w:highlight w:val="none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56" w:beforeLines="50" w:after="156" w:afterLines="50"/>
      <w:ind w:firstLine="562"/>
      <w:outlineLvl w:val="0"/>
    </w:pPr>
    <w:rPr>
      <w:rFonts w:ascii="黑体" w:hAnsi="黑体" w:eastAsia="黑体"/>
      <w:b/>
      <w:kern w:val="44"/>
      <w:sz w:val="28"/>
      <w:szCs w:val="28"/>
    </w:rPr>
  </w:style>
  <w:style w:type="paragraph" w:styleId="3">
    <w:name w:val="heading 2"/>
    <w:basedOn w:val="2"/>
    <w:next w:val="1"/>
    <w:unhideWhenUsed/>
    <w:qFormat/>
    <w:uiPriority w:val="0"/>
    <w:pPr>
      <w:adjustRightInd/>
      <w:spacing w:before="120" w:after="120"/>
      <w:jc w:val="both"/>
      <w:outlineLvl w:val="1"/>
    </w:pPr>
    <w:rPr>
      <w:rFonts w:ascii="Times New Roman" w:hAnsi="Times New Roman"/>
    </w:rPr>
  </w:style>
  <w:style w:type="paragraph" w:styleId="4">
    <w:name w:val="heading 3"/>
    <w:basedOn w:val="3"/>
    <w:next w:val="1"/>
    <w:qFormat/>
    <w:uiPriority w:val="9"/>
    <w:pPr>
      <w:outlineLvl w:val="2"/>
    </w:p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pPr>
      <w:spacing w:line="240" w:lineRule="auto"/>
    </w:pPr>
    <w:rPr>
      <w:rFonts w:ascii="Cambria" w:hAnsi="Cambria" w:eastAsia="黑体" w:cs="Times New Roman"/>
      <w:kern w:val="15"/>
      <w:sz w:val="20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宋体" w:hAnsi="宋体" w:cs="Times New Roman"/>
      <w:kern w:val="15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宋体" w:hAnsi="宋体" w:cs="Times New Roman"/>
      <w:kern w:val="15"/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181"/>
    <w:basedOn w:val="13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5">
    <w:name w:val="font191"/>
    <w:basedOn w:val="13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201"/>
    <w:basedOn w:val="13"/>
    <w:qFormat/>
    <w:uiPriority w:val="0"/>
    <w:rPr>
      <w:rFonts w:ascii="宋体" w:hAnsi="宋体" w:eastAsia="宋体" w:cs="宋体"/>
      <w:color w:val="FF0000"/>
      <w:sz w:val="28"/>
      <w:szCs w:val="28"/>
      <w:u w:val="none"/>
    </w:rPr>
  </w:style>
  <w:style w:type="character" w:customStyle="1" w:styleId="18">
    <w:name w:val="font71"/>
    <w:basedOn w:val="13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131"/>
    <w:basedOn w:val="1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0">
    <w:name w:val="font101"/>
    <w:basedOn w:val="13"/>
    <w:qFormat/>
    <w:uiPriority w:val="0"/>
    <w:rPr>
      <w:rFonts w:hint="default" w:ascii="宋体-简" w:hAnsi="宋体-简" w:eastAsia="宋体-简" w:cs="宋体-简"/>
      <w:color w:val="000000"/>
      <w:sz w:val="28"/>
      <w:szCs w:val="28"/>
      <w:u w:val="none"/>
    </w:rPr>
  </w:style>
  <w:style w:type="character" w:customStyle="1" w:styleId="21">
    <w:name w:val="font81"/>
    <w:basedOn w:val="13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2">
    <w:name w:val="font91"/>
    <w:basedOn w:val="13"/>
    <w:qFormat/>
    <w:uiPriority w:val="0"/>
    <w:rPr>
      <w:rFonts w:hint="default" w:ascii="宋体-简" w:hAnsi="宋体-简" w:eastAsia="宋体-简" w:cs="宋体-简"/>
      <w:color w:val="000000"/>
      <w:sz w:val="28"/>
      <w:szCs w:val="28"/>
      <w:u w:val="none"/>
    </w:rPr>
  </w:style>
  <w:style w:type="character" w:customStyle="1" w:styleId="23">
    <w:name w:val="font212"/>
    <w:basedOn w:val="13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4">
    <w:name w:val="font14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21"/>
    <w:basedOn w:val="13"/>
    <w:qFormat/>
    <w:uiPriority w:val="0"/>
    <w:rPr>
      <w:rFonts w:hint="default" w:ascii="宋体-简" w:hAnsi="宋体-简" w:eastAsia="宋体-简" w:cs="宋体-简"/>
      <w:color w:val="000000"/>
      <w:sz w:val="24"/>
      <w:szCs w:val="24"/>
      <w:u w:val="none"/>
    </w:rPr>
  </w:style>
  <w:style w:type="character" w:customStyle="1" w:styleId="26">
    <w:name w:val="font231"/>
    <w:basedOn w:val="13"/>
    <w:qFormat/>
    <w:uiPriority w:val="0"/>
    <w:rPr>
      <w:rFonts w:hint="default" w:ascii="宋体-简" w:hAnsi="宋体-简" w:eastAsia="宋体-简" w:cs="宋体-简"/>
      <w:color w:val="FF0000"/>
      <w:sz w:val="28"/>
      <w:szCs w:val="28"/>
      <w:u w:val="none"/>
    </w:rPr>
  </w:style>
  <w:style w:type="character" w:customStyle="1" w:styleId="27">
    <w:name w:val="font4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21"/>
    <w:basedOn w:val="13"/>
    <w:qFormat/>
    <w:uiPriority w:val="0"/>
    <w:rPr>
      <w:rFonts w:hint="default" w:ascii="微软雅黑" w:hAnsi="微软雅黑" w:eastAsia="微软雅黑" w:cs="微软雅黑"/>
      <w:color w:val="000000"/>
      <w:sz w:val="32"/>
      <w:szCs w:val="32"/>
      <w:u w:val="none"/>
    </w:rPr>
  </w:style>
  <w:style w:type="paragraph" w:customStyle="1" w:styleId="29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3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3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3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5">
    <w:name w:val="封面一致性程度标识"/>
    <w:basedOn w:val="36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36">
    <w:name w:val="封面标准英文名称"/>
    <w:basedOn w:val="34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37">
    <w:name w:val="封面标准文稿类别"/>
    <w:basedOn w:val="35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38">
    <w:name w:val="封面标准文稿编辑信息"/>
    <w:basedOn w:val="37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39">
    <w:name w:val="其他发布日期"/>
    <w:basedOn w:val="40"/>
    <w:qFormat/>
    <w:uiPriority w:val="0"/>
    <w:pPr>
      <w:framePr w:wrap="around" w:vAnchor="page" w:hAnchor="text" w:x="1419"/>
    </w:pPr>
  </w:style>
  <w:style w:type="paragraph" w:customStyle="1" w:styleId="40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41">
    <w:name w:val="其他实施日期"/>
    <w:basedOn w:val="42"/>
    <w:qFormat/>
    <w:uiPriority w:val="0"/>
    <w:pPr>
      <w:framePr w:wrap="around"/>
    </w:pPr>
  </w:style>
  <w:style w:type="paragraph" w:customStyle="1" w:styleId="42">
    <w:name w:val="实施日期"/>
    <w:basedOn w:val="40"/>
    <w:qFormat/>
    <w:uiPriority w:val="0"/>
    <w:pPr>
      <w:framePr w:wrap="around" w:vAnchor="page" w:hAnchor="text"/>
      <w:jc w:val="right"/>
    </w:pPr>
  </w:style>
  <w:style w:type="paragraph" w:customStyle="1" w:styleId="43">
    <w:name w:val="其他发布部门"/>
    <w:basedOn w:val="44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44">
    <w:name w:val="发布部门"/>
    <w:next w:val="4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4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2039</Words>
  <Characters>2432</Characters>
  <Lines>0</Lines>
  <Paragraphs>0</Paragraphs>
  <TotalTime>6</TotalTime>
  <ScaleCrop>false</ScaleCrop>
  <LinksUpToDate>false</LinksUpToDate>
  <CharactersWithSpaces>2582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2025-05-12T05:57:00Z</dcterms:created>
  <dc:creator>hcvc</dc:creator>
  <cp:lastModifiedBy>jia ♚</cp:lastModifiedBy>
  <cp:lastPrinted>2025-09-14T02:46:00Z</cp:lastPrinted>
  <dcterms:modified xsi:type="dcterms:W3CDTF">2025-11-04T03:37:23Z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2C8260C3141F4E85BB753B604134866F_13</vt:lpwstr>
  </property>
  <property fmtid="{D5CDD505-2E9C-101B-9397-08002B2CF9AE}" pid="4" name="KSOTemplateDocerSaveRecord">
    <vt:lpwstr>eyJoZGlkIjoiZDYzMDE3NTY3NTNmYTU4NTU4NWU1YzI4MWJlMWU5YjEiLCJ1c2VySWQiOiI2MjU1ODcxMDAifQ==</vt:lpwstr>
  </property>
</Properties>
</file>